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DF795" w14:textId="31390576" w:rsidR="00282F42" w:rsidRPr="00B55935" w:rsidRDefault="004976C5" w:rsidP="00282F42">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00282F42" w:rsidRPr="00B55935">
        <w:rPr>
          <w:rFonts w:ascii="Calibri" w:eastAsia="新細明體" w:hAnsi="Calibri" w:cs="Arial"/>
          <w:noProof w:val="0"/>
          <w:sz w:val="24"/>
          <w:szCs w:val="24"/>
          <w:lang w:eastAsia="ja-JP"/>
        </w:rPr>
        <w:t xml:space="preserve">Meeting </w:t>
      </w:r>
      <w:r w:rsidR="00D66D0F">
        <w:rPr>
          <w:rFonts w:ascii="Calibri" w:eastAsia="新細明體" w:hAnsi="Calibri" w:cs="Arial"/>
          <w:noProof w:val="0"/>
          <w:sz w:val="24"/>
          <w:szCs w:val="24"/>
          <w:lang w:eastAsia="ja-JP"/>
        </w:rPr>
        <w:t>#86</w:t>
      </w:r>
      <w:r w:rsidR="002659CF">
        <w:rPr>
          <w:rFonts w:ascii="Calibri" w:eastAsia="新細明體" w:hAnsi="Calibri" w:cs="Arial"/>
          <w:noProof w:val="0"/>
          <w:sz w:val="24"/>
          <w:szCs w:val="24"/>
          <w:lang w:eastAsia="ja-JP"/>
        </w:rPr>
        <w:t>bis</w:t>
      </w:r>
      <w:r w:rsidR="00282F42" w:rsidRPr="00B55935">
        <w:rPr>
          <w:rFonts w:ascii="Calibri" w:eastAsia="新細明體" w:hAnsi="Calibri" w:cs="Arial"/>
          <w:noProof w:val="0"/>
          <w:sz w:val="24"/>
          <w:szCs w:val="24"/>
          <w:lang w:eastAsia="ja-JP"/>
        </w:rPr>
        <w:t xml:space="preserve">                     </w:t>
      </w:r>
      <w:r w:rsidR="00282F42" w:rsidRPr="00B55935">
        <w:rPr>
          <w:rFonts w:ascii="Calibri" w:eastAsia="新細明體" w:hAnsi="Calibri" w:cs="Arial"/>
          <w:noProof w:val="0"/>
          <w:sz w:val="24"/>
          <w:szCs w:val="24"/>
          <w:lang w:eastAsia="ja-JP"/>
        </w:rPr>
        <w:tab/>
      </w:r>
      <w:r w:rsidR="00EC2414">
        <w:rPr>
          <w:rFonts w:ascii="Calibri" w:eastAsia="新細明體" w:hAnsi="Calibri" w:cs="Arial"/>
          <w:noProof w:val="0"/>
          <w:sz w:val="24"/>
          <w:szCs w:val="24"/>
          <w:lang w:eastAsia="ja-JP"/>
        </w:rPr>
        <w:t>R4-</w:t>
      </w:r>
      <w:r w:rsidR="00122163">
        <w:rPr>
          <w:rFonts w:ascii="Calibri" w:eastAsia="新細明體" w:hAnsi="Calibri" w:cs="Arial"/>
          <w:noProof w:val="0"/>
          <w:sz w:val="24"/>
          <w:szCs w:val="24"/>
          <w:lang w:eastAsia="ja-JP"/>
        </w:rPr>
        <w:t>180</w:t>
      </w:r>
      <w:r w:rsidR="00122163">
        <w:rPr>
          <w:rFonts w:ascii="Calibri" w:eastAsia="新細明體" w:hAnsi="Calibri" w:cs="Arial"/>
          <w:noProof w:val="0"/>
          <w:sz w:val="24"/>
          <w:szCs w:val="24"/>
          <w:lang w:eastAsia="ja-JP"/>
        </w:rPr>
        <w:t>3691</w:t>
      </w:r>
    </w:p>
    <w:p w14:paraId="2BA0024C" w14:textId="77777777" w:rsidR="00282F42" w:rsidRPr="00B55935" w:rsidRDefault="00CF4055" w:rsidP="00282F42">
      <w:pPr>
        <w:tabs>
          <w:tab w:val="left" w:pos="1985"/>
        </w:tabs>
        <w:jc w:val="both"/>
        <w:rPr>
          <w:rFonts w:eastAsia="MS Mincho" w:cs="Arial"/>
          <w:b/>
          <w:bCs/>
          <w:color w:val="0D0D0D"/>
          <w:szCs w:val="20"/>
          <w:lang w:val="en-GB" w:eastAsia="en-US"/>
        </w:rPr>
      </w:pPr>
      <w:r>
        <w:rPr>
          <w:rFonts w:cs="Arial"/>
          <w:b/>
          <w:lang w:eastAsia="ja-JP"/>
        </w:rPr>
        <w:t>Melbourne</w:t>
      </w:r>
      <w:r w:rsidR="00282F42" w:rsidRPr="00B55935">
        <w:rPr>
          <w:rFonts w:cs="Arial"/>
          <w:b/>
          <w:lang w:eastAsia="ja-JP"/>
        </w:rPr>
        <w:t>,</w:t>
      </w:r>
      <w:r w:rsidR="004976C5">
        <w:rPr>
          <w:rFonts w:cs="Arial"/>
          <w:b/>
          <w:lang w:eastAsia="ja-JP"/>
        </w:rPr>
        <w:t xml:space="preserve"> </w:t>
      </w:r>
      <w:r>
        <w:rPr>
          <w:rFonts w:cs="Arial"/>
          <w:b/>
          <w:lang w:eastAsia="ja-JP"/>
        </w:rPr>
        <w:t>Australia</w:t>
      </w:r>
      <w:r w:rsidR="00282F42" w:rsidRPr="00B55935">
        <w:rPr>
          <w:rFonts w:cs="Arial"/>
          <w:b/>
          <w:lang w:eastAsia="ja-JP"/>
        </w:rPr>
        <w:t xml:space="preserve">, </w:t>
      </w:r>
      <w:r>
        <w:rPr>
          <w:rFonts w:cs="Arial"/>
          <w:b/>
          <w:lang w:eastAsia="ja-JP"/>
        </w:rPr>
        <w:t>April</w:t>
      </w:r>
      <w:r w:rsidR="00282F42" w:rsidRPr="00B55935">
        <w:rPr>
          <w:rFonts w:cs="Arial"/>
          <w:b/>
          <w:lang w:eastAsia="ja-JP"/>
        </w:rPr>
        <w:t xml:space="preserve"> </w:t>
      </w:r>
      <w:r>
        <w:rPr>
          <w:rFonts w:cs="Arial"/>
          <w:b/>
          <w:lang w:eastAsia="ja-JP"/>
        </w:rPr>
        <w:t>1</w:t>
      </w:r>
      <w:r w:rsidR="001F5CF3">
        <w:rPr>
          <w:rFonts w:cs="Arial"/>
          <w:b/>
          <w:lang w:eastAsia="ja-JP"/>
        </w:rPr>
        <w:t>6</w:t>
      </w:r>
      <w:r w:rsidR="001F5CF3" w:rsidRPr="001F5CF3">
        <w:rPr>
          <w:rFonts w:cs="Arial"/>
          <w:b/>
          <w:vertAlign w:val="superscript"/>
          <w:lang w:eastAsia="ja-JP"/>
        </w:rPr>
        <w:t>th</w:t>
      </w:r>
      <w:r w:rsidR="001F5CF3">
        <w:rPr>
          <w:rFonts w:cs="Arial"/>
          <w:b/>
          <w:lang w:eastAsia="ja-JP"/>
        </w:rPr>
        <w:t xml:space="preserve"> </w:t>
      </w:r>
      <w:r w:rsidR="00282F42" w:rsidRPr="00B55935">
        <w:rPr>
          <w:rFonts w:cs="Arial"/>
          <w:b/>
          <w:lang w:eastAsia="ja-JP"/>
        </w:rPr>
        <w:t>–</w:t>
      </w:r>
      <w:r>
        <w:rPr>
          <w:rFonts w:cs="Arial"/>
          <w:b/>
          <w:lang w:eastAsia="ja-JP"/>
        </w:rPr>
        <w:t>20</w:t>
      </w:r>
      <w:r w:rsidRPr="00CF4055">
        <w:rPr>
          <w:rFonts w:cs="Arial"/>
          <w:b/>
          <w:vertAlign w:val="superscript"/>
          <w:lang w:eastAsia="ja-JP"/>
        </w:rPr>
        <w:t>th</w:t>
      </w:r>
      <w:r w:rsidR="001F5CF3">
        <w:rPr>
          <w:rFonts w:cs="Arial"/>
          <w:b/>
          <w:lang w:eastAsia="ja-JP"/>
        </w:rPr>
        <w:t>, 2018</w:t>
      </w:r>
    </w:p>
    <w:p w14:paraId="3484D80E" w14:textId="77777777" w:rsidR="005E232D" w:rsidRDefault="005E232D" w:rsidP="00A73AF2">
      <w:pPr>
        <w:pStyle w:val="a3"/>
        <w:rPr>
          <w:rFonts w:ascii="Calibri" w:hAnsi="Calibri"/>
          <w:bCs/>
          <w:noProof w:val="0"/>
          <w:sz w:val="24"/>
          <w:lang w:eastAsia="ja-JP"/>
        </w:rPr>
      </w:pPr>
    </w:p>
    <w:p w14:paraId="67615EA2" w14:textId="52225913" w:rsidR="00A73AF2" w:rsidRPr="00FD1290" w:rsidRDefault="00A73AF2" w:rsidP="00A73AF2">
      <w:pPr>
        <w:rPr>
          <w:rFonts w:cs="Arial"/>
          <w:b/>
          <w:bCs/>
          <w:sz w:val="24"/>
          <w:szCs w:val="20"/>
        </w:rPr>
      </w:pPr>
      <w:r>
        <w:rPr>
          <w:rFonts w:cs="Arial"/>
          <w:b/>
          <w:bCs/>
          <w:sz w:val="24"/>
        </w:rPr>
        <w:t xml:space="preserve">Agenda item:            </w:t>
      </w:r>
      <w:r w:rsidR="00F62EEE">
        <w:rPr>
          <w:rFonts w:cs="Arial"/>
          <w:b/>
          <w:bCs/>
          <w:sz w:val="24"/>
        </w:rPr>
        <w:t>7.2.2.1</w:t>
      </w:r>
      <w:bookmarkStart w:id="2" w:name="_GoBack"/>
      <w:bookmarkEnd w:id="2"/>
    </w:p>
    <w:p w14:paraId="1D786CFB" w14:textId="77777777"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14:paraId="2FF9A3E3" w14:textId="0ABFFFE1"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F62EEE">
        <w:rPr>
          <w:b/>
          <w:bCs/>
          <w:sz w:val="24"/>
          <w:szCs w:val="24"/>
        </w:rPr>
        <w:t>S</w:t>
      </w:r>
      <w:r w:rsidR="00122112" w:rsidRPr="00122112">
        <w:rPr>
          <w:b/>
          <w:bCs/>
          <w:sz w:val="24"/>
          <w:szCs w:val="24"/>
        </w:rPr>
        <w:t>witching time between LTE UL and NR UL for EN-DC with LTE-NR coexistence in UL sharing from UE perspective</w:t>
      </w:r>
    </w:p>
    <w:p w14:paraId="171118FA" w14:textId="77777777"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14:paraId="05F7FCAD" w14:textId="77777777"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14:paraId="15A521C3" w14:textId="77777777" w:rsidR="00611FCD" w:rsidRPr="00B66EDA" w:rsidRDefault="00CF4055" w:rsidP="005A0D71">
      <w:pPr>
        <w:jc w:val="both"/>
        <w:rPr>
          <w:sz w:val="20"/>
          <w:szCs w:val="20"/>
          <w:lang w:val="en-GB"/>
        </w:rPr>
      </w:pPr>
      <w:bookmarkStart w:id="3" w:name="OLE_LINK1"/>
      <w:bookmarkStart w:id="4" w:name="OLE_LINK2"/>
      <w:bookmarkStart w:id="5" w:name="OLE_LINK132"/>
      <w:bookmarkStart w:id="6" w:name="OLE_LINK133"/>
      <w:r>
        <w:rPr>
          <w:rFonts w:ascii="Calibri" w:eastAsia="新細明體" w:hAnsi="Calibri" w:cs="Calibri"/>
          <w:color w:val="0D0D0D"/>
          <w:sz w:val="20"/>
          <w:lang w:eastAsia="zh-TW"/>
        </w:rPr>
        <w:t xml:space="preserve">In this paper, </w:t>
      </w:r>
      <w:r w:rsidR="000A0C20">
        <w:rPr>
          <w:rFonts w:ascii="Calibri" w:eastAsia="新細明體" w:hAnsi="Calibri" w:cs="Calibri"/>
          <w:color w:val="0D0D0D"/>
          <w:sz w:val="20"/>
          <w:lang w:eastAsia="zh-TW"/>
        </w:rPr>
        <w:t xml:space="preserve">we discuss the </w:t>
      </w:r>
      <w:r w:rsidR="00EE602F">
        <w:rPr>
          <w:rFonts w:ascii="Calibri" w:eastAsia="新細明體" w:hAnsi="Calibri" w:cs="Calibri"/>
          <w:color w:val="0D0D0D"/>
          <w:sz w:val="20"/>
          <w:lang w:eastAsia="zh-TW"/>
        </w:rPr>
        <w:t>feature “</w:t>
      </w:r>
      <w:r w:rsidR="00EE602F" w:rsidRPr="00EE602F">
        <w:rPr>
          <w:rFonts w:ascii="Calibri" w:eastAsia="新細明體" w:hAnsi="Calibri" w:cs="Calibri"/>
          <w:color w:val="0D0D0D"/>
          <w:sz w:val="20"/>
          <w:lang w:eastAsia="zh-TW"/>
        </w:rPr>
        <w:t>Switching time between LTE UL and NR UL for EN-DC with LTE-NR coexistence in UL sharing from UE perspective</w:t>
      </w:r>
      <w:r w:rsidR="00EE602F">
        <w:rPr>
          <w:rFonts w:ascii="Calibri" w:eastAsia="新細明體" w:hAnsi="Calibri" w:cs="Calibri"/>
          <w:color w:val="0D0D0D"/>
          <w:sz w:val="20"/>
          <w:lang w:eastAsia="zh-TW"/>
        </w:rPr>
        <w:t>”</w:t>
      </w:r>
    </w:p>
    <w:p w14:paraId="7B0CF00E" w14:textId="77777777" w:rsidR="005917E4" w:rsidRPr="005917E4" w:rsidRDefault="00B07D53" w:rsidP="00D52DD6">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E679C3">
        <w:rPr>
          <w:rFonts w:ascii="Calibri" w:eastAsia="新細明體" w:hAnsi="Calibri" w:cs="Calibri"/>
          <w:b/>
          <w:sz w:val="24"/>
          <w:szCs w:val="24"/>
          <w:lang w:eastAsia="zh-TW"/>
        </w:rPr>
        <w:t>Discussion</w:t>
      </w:r>
    </w:p>
    <w:p w14:paraId="3A624E75" w14:textId="77777777" w:rsidR="005102CA" w:rsidRDefault="000A0C20" w:rsidP="00EE602F">
      <w:pPr>
        <w:jc w:val="both"/>
        <w:rPr>
          <w:lang w:eastAsia="zh-TW"/>
        </w:rPr>
      </w:pPr>
      <w:r>
        <w:rPr>
          <w:lang w:eastAsia="zh-TW"/>
        </w:rPr>
        <w:t xml:space="preserve">In </w:t>
      </w:r>
      <w:r w:rsidR="00EE602F">
        <w:rPr>
          <w:lang w:eastAsia="zh-TW"/>
        </w:rPr>
        <w:t>the feature list [1], the condition for supporting “</w:t>
      </w:r>
      <w:r w:rsidR="00EE602F" w:rsidRPr="00EE602F">
        <w:rPr>
          <w:lang w:eastAsia="zh-TW"/>
        </w:rPr>
        <w:t>Switching time between LTE UL and NR UL for EN-DC with LTE-NR coexistence in UL sharing from UE perspective”</w:t>
      </w:r>
      <w:r w:rsidR="00EE602F">
        <w:rPr>
          <w:lang w:eastAsia="zh-TW"/>
        </w:rPr>
        <w:t xml:space="preserve"> is not clear </w:t>
      </w:r>
      <w:r w:rsidR="008D70C6">
        <w:rPr>
          <w:lang w:eastAsia="zh-TW"/>
        </w:rPr>
        <w:t xml:space="preserve">as shown </w:t>
      </w:r>
      <w:r w:rsidR="00EE602F">
        <w:rPr>
          <w:lang w:eastAsia="zh-TW"/>
        </w:rPr>
        <w:t xml:space="preserve">Table1. </w:t>
      </w:r>
    </w:p>
    <w:p w14:paraId="6868C4A1" w14:textId="77777777" w:rsidR="00EE602F" w:rsidRPr="00EE602F" w:rsidRDefault="00EE602F" w:rsidP="00EE602F">
      <w:pPr>
        <w:pStyle w:val="a5"/>
        <w:jc w:val="center"/>
        <w:rPr>
          <w:rFonts w:eastAsia="新細明體"/>
          <w:lang w:eastAsia="zh-TW"/>
        </w:rPr>
      </w:pPr>
      <w:r>
        <w:t xml:space="preserve">Table </w:t>
      </w:r>
      <w:r w:rsidR="00455FAE">
        <w:fldChar w:fldCharType="begin"/>
      </w:r>
      <w:r w:rsidR="00455FAE">
        <w:instrText xml:space="preserve"> SEQ Table \* ARABIC </w:instrText>
      </w:r>
      <w:r w:rsidR="00455FAE">
        <w:fldChar w:fldCharType="separate"/>
      </w:r>
      <w:r>
        <w:rPr>
          <w:noProof/>
        </w:rPr>
        <w:t>1</w:t>
      </w:r>
      <w:r w:rsidR="00455FAE">
        <w:rPr>
          <w:noProof/>
        </w:rPr>
        <w:fldChar w:fldCharType="end"/>
      </w:r>
      <w:r>
        <w:t xml:space="preserve"> Feature description of </w:t>
      </w:r>
      <w:r w:rsidRPr="00EE602F">
        <w:rPr>
          <w:lang w:eastAsia="zh-TW"/>
        </w:rPr>
        <w:t>Switching time between LTE UL and NR UL for EN-DC with LTE-NR coexistence in UL sharing from UE perspective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6"/>
        <w:gridCol w:w="335"/>
        <w:gridCol w:w="784"/>
        <w:gridCol w:w="830"/>
        <w:gridCol w:w="478"/>
        <w:gridCol w:w="480"/>
        <w:gridCol w:w="905"/>
        <w:gridCol w:w="765"/>
        <w:gridCol w:w="632"/>
        <w:gridCol w:w="632"/>
        <w:gridCol w:w="632"/>
        <w:gridCol w:w="1489"/>
        <w:gridCol w:w="402"/>
        <w:gridCol w:w="564"/>
        <w:gridCol w:w="275"/>
      </w:tblGrid>
      <w:tr w:rsidR="004337EE" w:rsidRPr="006521BF" w14:paraId="7E6CE6F0" w14:textId="77777777" w:rsidTr="004337EE">
        <w:trPr>
          <w:trHeight w:val="1337"/>
          <w:jc w:val="center"/>
        </w:trPr>
        <w:tc>
          <w:tcPr>
            <w:tcW w:w="221" w:type="pct"/>
            <w:shd w:val="clear" w:color="000000" w:fill="99CCFF"/>
            <w:vAlign w:val="center"/>
            <w:hideMark/>
          </w:tcPr>
          <w:p w14:paraId="164C446F" w14:textId="77777777" w:rsidR="004337EE" w:rsidRPr="006521BF" w:rsidRDefault="004337EE" w:rsidP="002F7C4F">
            <w:pPr>
              <w:tabs>
                <w:tab w:val="left" w:pos="402"/>
              </w:tabs>
              <w:adjustRightInd w:val="0"/>
              <w:snapToGrid w:val="0"/>
              <w:rPr>
                <w:rFonts w:ascii="Arial" w:eastAsia="MS PGothic" w:hAnsi="Arial" w:cs="Arial"/>
                <w:color w:val="000000" w:themeColor="text1"/>
                <w:sz w:val="16"/>
                <w:szCs w:val="16"/>
              </w:rPr>
            </w:pPr>
            <w:r w:rsidRPr="006521BF">
              <w:rPr>
                <w:rFonts w:ascii="Arial" w:eastAsia="MS PGothic" w:hAnsi="Arial" w:cs="Arial"/>
                <w:color w:val="000000" w:themeColor="text1"/>
                <w:sz w:val="16"/>
                <w:szCs w:val="16"/>
              </w:rPr>
              <w:t>WI</w:t>
            </w:r>
          </w:p>
        </w:tc>
        <w:tc>
          <w:tcPr>
            <w:tcW w:w="174" w:type="pct"/>
            <w:shd w:val="clear" w:color="000000" w:fill="99CCFF"/>
            <w:vAlign w:val="center"/>
            <w:hideMark/>
          </w:tcPr>
          <w:p w14:paraId="06EA180A" w14:textId="77777777" w:rsidR="004337EE" w:rsidRPr="006521BF" w:rsidRDefault="004337EE" w:rsidP="002F7C4F">
            <w:pPr>
              <w:tabs>
                <w:tab w:val="left" w:pos="402"/>
              </w:tabs>
              <w:adjustRightInd w:val="0"/>
              <w:snapToGrid w:val="0"/>
              <w:rPr>
                <w:rFonts w:ascii="Arial" w:eastAsia="MS PGothic" w:hAnsi="Arial" w:cs="Arial"/>
                <w:color w:val="000000" w:themeColor="text1"/>
                <w:sz w:val="16"/>
                <w:szCs w:val="16"/>
              </w:rPr>
            </w:pPr>
            <w:r w:rsidRPr="006521BF">
              <w:rPr>
                <w:rFonts w:ascii="Arial" w:eastAsia="MS PGothic" w:hAnsi="Arial" w:cs="Arial"/>
                <w:color w:val="000000" w:themeColor="text1"/>
                <w:sz w:val="16"/>
                <w:szCs w:val="16"/>
              </w:rPr>
              <w:t>#</w:t>
            </w:r>
          </w:p>
        </w:tc>
        <w:tc>
          <w:tcPr>
            <w:tcW w:w="407" w:type="pct"/>
            <w:shd w:val="clear" w:color="000000" w:fill="99CCFF"/>
            <w:vAlign w:val="center"/>
            <w:hideMark/>
          </w:tcPr>
          <w:p w14:paraId="5DA8F692" w14:textId="77777777" w:rsidR="004337EE" w:rsidRPr="006521BF" w:rsidRDefault="004337EE" w:rsidP="002F7C4F">
            <w:pPr>
              <w:tabs>
                <w:tab w:val="left" w:pos="402"/>
              </w:tabs>
              <w:adjustRightInd w:val="0"/>
              <w:snapToGrid w:val="0"/>
              <w:rPr>
                <w:rFonts w:ascii="Arial" w:eastAsia="MS PGothic" w:hAnsi="Arial" w:cs="Arial"/>
                <w:color w:val="000000" w:themeColor="text1"/>
                <w:sz w:val="16"/>
                <w:szCs w:val="16"/>
              </w:rPr>
            </w:pPr>
            <w:r w:rsidRPr="006521BF">
              <w:rPr>
                <w:rFonts w:ascii="Arial" w:eastAsia="MS PGothic" w:hAnsi="Arial" w:cs="Arial"/>
                <w:color w:val="000000" w:themeColor="text1"/>
                <w:sz w:val="16"/>
                <w:szCs w:val="16"/>
              </w:rPr>
              <w:t>Feature group</w:t>
            </w:r>
          </w:p>
        </w:tc>
        <w:tc>
          <w:tcPr>
            <w:tcW w:w="431" w:type="pct"/>
            <w:shd w:val="clear" w:color="000000" w:fill="99CCFF"/>
            <w:vAlign w:val="center"/>
            <w:hideMark/>
          </w:tcPr>
          <w:p w14:paraId="36082F0F" w14:textId="77777777" w:rsidR="004337EE" w:rsidRPr="006521BF" w:rsidRDefault="004337EE" w:rsidP="002F7C4F">
            <w:pPr>
              <w:tabs>
                <w:tab w:val="left" w:pos="402"/>
              </w:tabs>
              <w:adjustRightInd w:val="0"/>
              <w:snapToGrid w:val="0"/>
              <w:rPr>
                <w:rFonts w:ascii="Arial" w:eastAsia="MS PGothic" w:hAnsi="Arial" w:cs="Arial"/>
                <w:color w:val="000000" w:themeColor="text1"/>
                <w:sz w:val="16"/>
                <w:szCs w:val="16"/>
              </w:rPr>
            </w:pPr>
            <w:r w:rsidRPr="006521BF">
              <w:rPr>
                <w:rFonts w:ascii="Arial" w:eastAsia="MS PGothic" w:hAnsi="Arial" w:cs="Arial"/>
                <w:color w:val="000000" w:themeColor="text1"/>
                <w:sz w:val="16"/>
                <w:szCs w:val="16"/>
              </w:rPr>
              <w:t>Components</w:t>
            </w:r>
          </w:p>
        </w:tc>
        <w:tc>
          <w:tcPr>
            <w:tcW w:w="248" w:type="pct"/>
            <w:shd w:val="clear" w:color="000000" w:fill="99CCFF"/>
            <w:vAlign w:val="center"/>
            <w:hideMark/>
          </w:tcPr>
          <w:p w14:paraId="73021B20" w14:textId="77777777" w:rsidR="004337EE" w:rsidRPr="006521BF" w:rsidRDefault="004337EE" w:rsidP="002F7C4F">
            <w:pPr>
              <w:tabs>
                <w:tab w:val="left" w:pos="402"/>
              </w:tabs>
              <w:adjustRightInd w:val="0"/>
              <w:snapToGrid w:val="0"/>
              <w:rPr>
                <w:rFonts w:ascii="Arial" w:eastAsia="MS PGothic" w:hAnsi="Arial" w:cs="Arial"/>
                <w:color w:val="000000" w:themeColor="text1"/>
                <w:sz w:val="16"/>
                <w:szCs w:val="16"/>
              </w:rPr>
            </w:pPr>
            <w:r w:rsidRPr="006521BF">
              <w:rPr>
                <w:rFonts w:ascii="Arial" w:eastAsia="MS PGothic" w:hAnsi="Arial" w:cs="Arial"/>
                <w:color w:val="000000" w:themeColor="text1"/>
                <w:sz w:val="16"/>
                <w:szCs w:val="16"/>
              </w:rPr>
              <w:t xml:space="preserve">Prerequisite feature groups </w:t>
            </w:r>
          </w:p>
        </w:tc>
        <w:tc>
          <w:tcPr>
            <w:tcW w:w="249" w:type="pct"/>
            <w:shd w:val="clear" w:color="000000" w:fill="99CCFF"/>
            <w:vAlign w:val="center"/>
            <w:hideMark/>
          </w:tcPr>
          <w:p w14:paraId="32D7A22C" w14:textId="77777777" w:rsidR="004337EE" w:rsidRPr="006521BF" w:rsidRDefault="004337EE" w:rsidP="004337EE">
            <w:pPr>
              <w:tabs>
                <w:tab w:val="left" w:pos="402"/>
              </w:tabs>
              <w:adjustRightInd w:val="0"/>
              <w:snapToGrid w:val="0"/>
              <w:rPr>
                <w:rFonts w:ascii="Arial" w:eastAsia="MS PGothic" w:hAnsi="Arial" w:cs="Arial"/>
                <w:color w:val="000000" w:themeColor="text1"/>
                <w:sz w:val="16"/>
                <w:szCs w:val="16"/>
              </w:rPr>
            </w:pPr>
            <w:r w:rsidRPr="006521BF">
              <w:rPr>
                <w:rFonts w:ascii="Arial" w:eastAsia="MS PGothic" w:hAnsi="Arial" w:cs="Arial"/>
                <w:color w:val="000000" w:themeColor="text1"/>
                <w:sz w:val="16"/>
                <w:szCs w:val="16"/>
              </w:rPr>
              <w:t>Need for gNB t</w:t>
            </w:r>
          </w:p>
        </w:tc>
        <w:tc>
          <w:tcPr>
            <w:tcW w:w="470" w:type="pct"/>
            <w:shd w:val="clear" w:color="000000" w:fill="99CCFF"/>
            <w:vAlign w:val="center"/>
            <w:hideMark/>
          </w:tcPr>
          <w:p w14:paraId="15753C17" w14:textId="77777777" w:rsidR="004337EE" w:rsidRPr="006521BF" w:rsidRDefault="004337EE" w:rsidP="002F7C4F">
            <w:pPr>
              <w:tabs>
                <w:tab w:val="left" w:pos="402"/>
              </w:tabs>
              <w:adjustRightInd w:val="0"/>
              <w:snapToGrid w:val="0"/>
              <w:rPr>
                <w:rFonts w:ascii="Arial" w:eastAsia="MS PGothic" w:hAnsi="Arial" w:cs="Arial"/>
                <w:color w:val="000000" w:themeColor="text1"/>
                <w:sz w:val="16"/>
                <w:szCs w:val="16"/>
              </w:rPr>
            </w:pPr>
            <w:r w:rsidRPr="006521BF">
              <w:rPr>
                <w:rFonts w:ascii="Arial" w:eastAsia="MS PGothic" w:hAnsi="Arial" w:cs="Arial"/>
                <w:color w:val="000000" w:themeColor="text1"/>
                <w:sz w:val="16"/>
                <w:szCs w:val="16"/>
              </w:rPr>
              <w:t>Consequences if the feature</w:t>
            </w:r>
            <w:r w:rsidRPr="006521BF">
              <w:rPr>
                <w:rFonts w:ascii="Arial" w:eastAsia="MS PGothic" w:hAnsi="Arial" w:cs="Arial"/>
                <w:color w:val="000000" w:themeColor="text1"/>
                <w:sz w:val="16"/>
                <w:szCs w:val="16"/>
              </w:rPr>
              <w:br/>
              <w:t xml:space="preserve"> is not supported by the UE</w:t>
            </w:r>
          </w:p>
        </w:tc>
        <w:tc>
          <w:tcPr>
            <w:tcW w:w="397" w:type="pct"/>
            <w:shd w:val="clear" w:color="000000" w:fill="99CCFF"/>
            <w:vAlign w:val="center"/>
            <w:hideMark/>
          </w:tcPr>
          <w:p w14:paraId="4D8F0A7B" w14:textId="77777777" w:rsidR="004337EE" w:rsidRPr="006521BF" w:rsidRDefault="004337EE" w:rsidP="004337EE">
            <w:pPr>
              <w:tabs>
                <w:tab w:val="left" w:pos="402"/>
              </w:tabs>
              <w:adjustRightInd w:val="0"/>
              <w:snapToGrid w:val="0"/>
              <w:rPr>
                <w:rFonts w:ascii="Arial" w:eastAsia="MS PGothic" w:hAnsi="Arial" w:cs="Arial"/>
                <w:color w:val="000000" w:themeColor="text1"/>
                <w:sz w:val="16"/>
                <w:szCs w:val="16"/>
              </w:rPr>
            </w:pPr>
            <w:r w:rsidRPr="006521BF">
              <w:rPr>
                <w:rFonts w:ascii="Arial" w:eastAsia="MS PGothic" w:hAnsi="Arial" w:cs="Arial"/>
                <w:color w:val="000000" w:themeColor="text1"/>
                <w:sz w:val="16"/>
                <w:szCs w:val="16"/>
              </w:rPr>
              <w:t xml:space="preserve">Type </w:t>
            </w:r>
          </w:p>
        </w:tc>
        <w:tc>
          <w:tcPr>
            <w:tcW w:w="328" w:type="pct"/>
            <w:shd w:val="clear" w:color="000000" w:fill="A6A6A6"/>
            <w:vAlign w:val="center"/>
            <w:hideMark/>
          </w:tcPr>
          <w:p w14:paraId="0391FF82" w14:textId="77777777" w:rsidR="004337EE" w:rsidRPr="006521BF" w:rsidRDefault="004337EE" w:rsidP="002F7C4F">
            <w:pPr>
              <w:tabs>
                <w:tab w:val="left" w:pos="402"/>
              </w:tabs>
              <w:adjustRightInd w:val="0"/>
              <w:snapToGrid w:val="0"/>
              <w:rPr>
                <w:rFonts w:ascii="Arial" w:eastAsia="MS PGothic" w:hAnsi="Arial" w:cs="Arial"/>
                <w:color w:val="000000" w:themeColor="text1"/>
                <w:sz w:val="16"/>
                <w:szCs w:val="16"/>
              </w:rPr>
            </w:pPr>
            <w:r w:rsidRPr="006521BF">
              <w:rPr>
                <w:rFonts w:ascii="Arial" w:eastAsia="MS PGothic" w:hAnsi="Arial" w:cs="Arial"/>
                <w:color w:val="000000" w:themeColor="text1"/>
                <w:sz w:val="16"/>
                <w:szCs w:val="16"/>
              </w:rPr>
              <w:t>Need of FDD/TDD differentiation</w:t>
            </w:r>
          </w:p>
        </w:tc>
        <w:tc>
          <w:tcPr>
            <w:tcW w:w="328" w:type="pct"/>
            <w:shd w:val="clear" w:color="000000" w:fill="A6A6A6"/>
            <w:vAlign w:val="center"/>
            <w:hideMark/>
          </w:tcPr>
          <w:p w14:paraId="1303C425" w14:textId="77777777" w:rsidR="004337EE" w:rsidRPr="006521BF" w:rsidRDefault="004337EE" w:rsidP="002F7C4F">
            <w:pPr>
              <w:tabs>
                <w:tab w:val="left" w:pos="402"/>
              </w:tabs>
              <w:adjustRightInd w:val="0"/>
              <w:snapToGrid w:val="0"/>
              <w:rPr>
                <w:rFonts w:ascii="Arial" w:eastAsia="MS PGothic" w:hAnsi="Arial" w:cs="Arial"/>
                <w:color w:val="000000" w:themeColor="text1"/>
                <w:sz w:val="16"/>
                <w:szCs w:val="16"/>
              </w:rPr>
            </w:pPr>
            <w:r w:rsidRPr="006521BF">
              <w:rPr>
                <w:rFonts w:ascii="Arial" w:eastAsia="MS PGothic" w:hAnsi="Arial" w:cs="Arial"/>
                <w:color w:val="000000" w:themeColor="text1"/>
                <w:sz w:val="16"/>
                <w:szCs w:val="16"/>
              </w:rPr>
              <w:t>Need of FR1/FR2 differentiation</w:t>
            </w:r>
          </w:p>
        </w:tc>
        <w:tc>
          <w:tcPr>
            <w:tcW w:w="328" w:type="pct"/>
            <w:shd w:val="clear" w:color="000000" w:fill="99CCFF"/>
            <w:vAlign w:val="center"/>
            <w:hideMark/>
          </w:tcPr>
          <w:p w14:paraId="12886F79" w14:textId="77777777" w:rsidR="004337EE" w:rsidRPr="006521BF" w:rsidRDefault="004337EE" w:rsidP="002F7C4F">
            <w:pPr>
              <w:tabs>
                <w:tab w:val="left" w:pos="402"/>
              </w:tabs>
              <w:adjustRightInd w:val="0"/>
              <w:snapToGrid w:val="0"/>
              <w:rPr>
                <w:rFonts w:ascii="Arial" w:eastAsia="MS PGothic" w:hAnsi="Arial" w:cs="Arial"/>
                <w:color w:val="000000" w:themeColor="text1"/>
                <w:sz w:val="16"/>
                <w:szCs w:val="16"/>
              </w:rPr>
            </w:pPr>
            <w:r w:rsidRPr="006521BF">
              <w:rPr>
                <w:rFonts w:ascii="Arial" w:eastAsia="MS PGothic" w:hAnsi="Arial" w:cs="Arial"/>
                <w:color w:val="000000" w:themeColor="text1"/>
                <w:sz w:val="16"/>
                <w:szCs w:val="16"/>
              </w:rPr>
              <w:t>RAN5 implication</w:t>
            </w:r>
          </w:p>
        </w:tc>
        <w:tc>
          <w:tcPr>
            <w:tcW w:w="773" w:type="pct"/>
            <w:shd w:val="clear" w:color="000000" w:fill="99CCFF"/>
            <w:vAlign w:val="center"/>
            <w:hideMark/>
          </w:tcPr>
          <w:p w14:paraId="172938FF" w14:textId="77777777" w:rsidR="004337EE" w:rsidRPr="006521BF" w:rsidRDefault="004337EE" w:rsidP="002F7C4F">
            <w:pPr>
              <w:tabs>
                <w:tab w:val="left" w:pos="402"/>
              </w:tabs>
              <w:adjustRightInd w:val="0"/>
              <w:snapToGrid w:val="0"/>
              <w:rPr>
                <w:rFonts w:ascii="Arial" w:eastAsia="MS PGothic" w:hAnsi="Arial" w:cs="Arial"/>
                <w:color w:val="000000" w:themeColor="text1"/>
                <w:sz w:val="16"/>
                <w:szCs w:val="16"/>
              </w:rPr>
            </w:pPr>
            <w:r w:rsidRPr="006521BF">
              <w:rPr>
                <w:rFonts w:ascii="Arial" w:eastAsia="MS PGothic" w:hAnsi="Arial" w:cs="Arial"/>
                <w:color w:val="000000" w:themeColor="text1"/>
                <w:sz w:val="16"/>
                <w:szCs w:val="16"/>
              </w:rPr>
              <w:t>Remarks</w:t>
            </w:r>
          </w:p>
        </w:tc>
        <w:tc>
          <w:tcPr>
            <w:tcW w:w="209" w:type="pct"/>
            <w:shd w:val="clear" w:color="000000" w:fill="99CCFF"/>
            <w:vAlign w:val="center"/>
            <w:hideMark/>
          </w:tcPr>
          <w:p w14:paraId="237C3F6B" w14:textId="77777777" w:rsidR="004337EE" w:rsidRPr="006521BF" w:rsidRDefault="004337EE" w:rsidP="002F7C4F">
            <w:pPr>
              <w:tabs>
                <w:tab w:val="left" w:pos="402"/>
              </w:tabs>
              <w:adjustRightInd w:val="0"/>
              <w:snapToGrid w:val="0"/>
              <w:rPr>
                <w:rFonts w:ascii="Arial" w:eastAsia="MS PGothic" w:hAnsi="Arial" w:cs="Arial"/>
                <w:color w:val="000000" w:themeColor="text1"/>
                <w:sz w:val="16"/>
                <w:szCs w:val="16"/>
              </w:rPr>
            </w:pPr>
            <w:r w:rsidRPr="006521BF">
              <w:rPr>
                <w:rFonts w:ascii="Arial" w:eastAsia="MS PGothic" w:hAnsi="Arial" w:cs="Arial"/>
                <w:color w:val="000000" w:themeColor="text1"/>
                <w:sz w:val="16"/>
                <w:szCs w:val="16"/>
              </w:rPr>
              <w:t>Responsible WG</w:t>
            </w:r>
          </w:p>
        </w:tc>
        <w:tc>
          <w:tcPr>
            <w:tcW w:w="293" w:type="pct"/>
            <w:shd w:val="clear" w:color="000000" w:fill="FF00FF"/>
            <w:vAlign w:val="center"/>
            <w:hideMark/>
          </w:tcPr>
          <w:p w14:paraId="7099A8DC" w14:textId="77777777" w:rsidR="004337EE" w:rsidRPr="006521BF" w:rsidRDefault="004337EE" w:rsidP="002F7C4F">
            <w:pPr>
              <w:tabs>
                <w:tab w:val="left" w:pos="402"/>
              </w:tabs>
              <w:adjustRightInd w:val="0"/>
              <w:snapToGrid w:val="0"/>
              <w:rPr>
                <w:rFonts w:ascii="Arial" w:eastAsia="MS PGothic" w:hAnsi="Arial" w:cs="Arial"/>
                <w:color w:val="000000" w:themeColor="text1"/>
                <w:sz w:val="16"/>
                <w:szCs w:val="16"/>
              </w:rPr>
            </w:pPr>
            <w:r w:rsidRPr="006521BF">
              <w:rPr>
                <w:rFonts w:ascii="Arial" w:eastAsia="MS PGothic" w:hAnsi="Arial" w:cs="Arial"/>
                <w:color w:val="000000" w:themeColor="text1"/>
                <w:sz w:val="16"/>
                <w:szCs w:val="16"/>
              </w:rPr>
              <w:t>Recommendation for TSG-RAN</w:t>
            </w:r>
          </w:p>
        </w:tc>
        <w:tc>
          <w:tcPr>
            <w:tcW w:w="143" w:type="pct"/>
            <w:shd w:val="clear" w:color="000000" w:fill="A6A6A6"/>
            <w:vAlign w:val="center"/>
            <w:hideMark/>
          </w:tcPr>
          <w:p w14:paraId="51EFFA94" w14:textId="77777777" w:rsidR="004337EE" w:rsidRPr="006521BF" w:rsidRDefault="004337EE" w:rsidP="002F7C4F">
            <w:pPr>
              <w:tabs>
                <w:tab w:val="left" w:pos="402"/>
              </w:tabs>
              <w:adjustRightInd w:val="0"/>
              <w:snapToGrid w:val="0"/>
              <w:rPr>
                <w:rFonts w:ascii="Arial" w:eastAsia="MS PGothic" w:hAnsi="Arial" w:cs="Arial"/>
                <w:color w:val="000000" w:themeColor="text1"/>
                <w:sz w:val="16"/>
                <w:szCs w:val="16"/>
              </w:rPr>
            </w:pPr>
            <w:r w:rsidRPr="006521BF">
              <w:rPr>
                <w:rFonts w:ascii="Arial" w:eastAsia="MS PGothic" w:hAnsi="Arial" w:cs="Arial"/>
                <w:color w:val="000000" w:themeColor="text1"/>
                <w:sz w:val="16"/>
                <w:szCs w:val="16"/>
              </w:rPr>
              <w:t>TSG-RAN decision</w:t>
            </w:r>
          </w:p>
        </w:tc>
      </w:tr>
      <w:tr w:rsidR="004337EE" w:rsidRPr="006521BF" w14:paraId="019B65D0" w14:textId="77777777" w:rsidTr="004337EE">
        <w:trPr>
          <w:trHeight w:val="622"/>
          <w:jc w:val="center"/>
        </w:trPr>
        <w:tc>
          <w:tcPr>
            <w:tcW w:w="221" w:type="pct"/>
            <w:shd w:val="clear" w:color="auto" w:fill="auto"/>
            <w:vAlign w:val="center"/>
          </w:tcPr>
          <w:p w14:paraId="32E489F6" w14:textId="77777777" w:rsidR="004337EE" w:rsidRPr="00A6001A" w:rsidRDefault="004337EE" w:rsidP="002F7C4F">
            <w:pPr>
              <w:adjustRightInd w:val="0"/>
              <w:snapToGrid w:val="0"/>
              <w:rPr>
                <w:rFonts w:ascii="Arial" w:eastAsia="MS PGothic" w:hAnsi="Arial" w:cs="Arial"/>
                <w:color w:val="000000" w:themeColor="text1"/>
                <w:sz w:val="16"/>
                <w:szCs w:val="16"/>
              </w:rPr>
            </w:pPr>
          </w:p>
        </w:tc>
        <w:tc>
          <w:tcPr>
            <w:tcW w:w="174" w:type="pct"/>
            <w:shd w:val="clear" w:color="auto" w:fill="auto"/>
            <w:vAlign w:val="center"/>
          </w:tcPr>
          <w:p w14:paraId="048D771D" w14:textId="77777777" w:rsidR="004337EE" w:rsidRPr="00A6001A" w:rsidRDefault="004337EE" w:rsidP="002F7C4F">
            <w:pPr>
              <w:adjustRightInd w:val="0"/>
              <w:snapToGrid w:val="0"/>
              <w:rPr>
                <w:rFonts w:ascii="Arial" w:eastAsia="MS PGothic" w:hAnsi="Arial" w:cs="Arial"/>
                <w:color w:val="000000" w:themeColor="text1"/>
                <w:sz w:val="16"/>
                <w:szCs w:val="16"/>
              </w:rPr>
            </w:pPr>
            <w:r w:rsidRPr="00A6001A">
              <w:rPr>
                <w:rFonts w:ascii="Arial" w:eastAsia="MS PGothic" w:hAnsi="Arial" w:cs="Arial" w:hint="eastAsia"/>
                <w:color w:val="000000" w:themeColor="text1"/>
                <w:sz w:val="16"/>
                <w:szCs w:val="16"/>
              </w:rPr>
              <w:t>1</w:t>
            </w:r>
            <w:r w:rsidRPr="00A6001A">
              <w:rPr>
                <w:rFonts w:ascii="Arial" w:eastAsia="MS PGothic" w:hAnsi="Arial" w:cs="Arial"/>
                <w:color w:val="000000" w:themeColor="text1"/>
                <w:sz w:val="16"/>
                <w:szCs w:val="16"/>
              </w:rPr>
              <w:t>-11</w:t>
            </w:r>
          </w:p>
        </w:tc>
        <w:tc>
          <w:tcPr>
            <w:tcW w:w="407" w:type="pct"/>
            <w:shd w:val="clear" w:color="auto" w:fill="auto"/>
            <w:vAlign w:val="center"/>
          </w:tcPr>
          <w:p w14:paraId="421F57B8" w14:textId="77777777" w:rsidR="004337EE" w:rsidRPr="00A6001A" w:rsidRDefault="004337EE" w:rsidP="002F7C4F">
            <w:pPr>
              <w:adjustRightInd w:val="0"/>
              <w:snapToGrid w:val="0"/>
              <w:rPr>
                <w:rFonts w:ascii="Arial" w:eastAsia="MS PGothic" w:hAnsi="Arial" w:cs="Arial"/>
                <w:color w:val="000000" w:themeColor="text1"/>
                <w:sz w:val="16"/>
                <w:szCs w:val="16"/>
              </w:rPr>
            </w:pPr>
            <w:r w:rsidRPr="00A6001A">
              <w:rPr>
                <w:rFonts w:ascii="Arial" w:eastAsia="MS PGothic" w:hAnsi="Arial" w:cs="Arial"/>
                <w:color w:val="000000" w:themeColor="text1"/>
                <w:sz w:val="16"/>
                <w:szCs w:val="16"/>
              </w:rPr>
              <w:t>Switching time between LTE UL and NR UL for EN-DC with LTE-NR coexistence in UL sharing from UE perspective</w:t>
            </w:r>
          </w:p>
        </w:tc>
        <w:tc>
          <w:tcPr>
            <w:tcW w:w="431" w:type="pct"/>
            <w:shd w:val="clear" w:color="auto" w:fill="auto"/>
            <w:vAlign w:val="center"/>
          </w:tcPr>
          <w:p w14:paraId="477512EC" w14:textId="77777777" w:rsidR="004337EE" w:rsidRPr="00A6001A" w:rsidRDefault="004337EE" w:rsidP="002F7C4F">
            <w:pPr>
              <w:adjustRightInd w:val="0"/>
              <w:snapToGrid w:val="0"/>
              <w:rPr>
                <w:rFonts w:ascii="Arial" w:eastAsia="MS PGothic" w:hAnsi="Arial" w:cs="Arial"/>
                <w:color w:val="000000" w:themeColor="text1"/>
                <w:sz w:val="16"/>
                <w:szCs w:val="16"/>
                <w:lang w:val="en-GB"/>
              </w:rPr>
            </w:pPr>
            <w:r w:rsidRPr="00A6001A">
              <w:rPr>
                <w:rFonts w:ascii="Arial" w:eastAsia="MS PGothic" w:hAnsi="Arial" w:cs="Arial"/>
                <w:color w:val="000000" w:themeColor="text1"/>
                <w:sz w:val="16"/>
                <w:szCs w:val="16"/>
              </w:rPr>
              <w:t xml:space="preserve">Support of switching type between LTE UL and NR UL for EN-DC with LTE-NR coexistence in UL sharing from UE perspective. </w:t>
            </w:r>
          </w:p>
          <w:p w14:paraId="7163C2D8" w14:textId="77777777" w:rsidR="004337EE" w:rsidRPr="00A6001A" w:rsidRDefault="004337EE" w:rsidP="002F7C4F">
            <w:pPr>
              <w:adjustRightInd w:val="0"/>
              <w:snapToGrid w:val="0"/>
              <w:rPr>
                <w:rFonts w:ascii="Arial" w:eastAsia="MS PGothic" w:hAnsi="Arial" w:cs="Arial"/>
                <w:color w:val="000000" w:themeColor="text1"/>
                <w:sz w:val="16"/>
                <w:szCs w:val="16"/>
                <w:lang w:val="en-GB"/>
              </w:rPr>
            </w:pPr>
            <w:r w:rsidRPr="00A6001A">
              <w:rPr>
                <w:rFonts w:ascii="Arial" w:eastAsia="MS PGothic" w:hAnsi="Arial" w:cs="Arial"/>
                <w:color w:val="000000" w:themeColor="text1"/>
                <w:sz w:val="16"/>
                <w:szCs w:val="16"/>
              </w:rPr>
              <w:t>Type 1: ~0us</w:t>
            </w:r>
          </w:p>
          <w:p w14:paraId="1B36D3E1" w14:textId="77777777" w:rsidR="004337EE" w:rsidRPr="00A6001A" w:rsidRDefault="004337EE" w:rsidP="002F7C4F">
            <w:pPr>
              <w:adjustRightInd w:val="0"/>
              <w:snapToGrid w:val="0"/>
              <w:rPr>
                <w:rFonts w:ascii="Arial" w:eastAsia="MS PGothic" w:hAnsi="Arial" w:cs="Arial"/>
                <w:color w:val="000000" w:themeColor="text1"/>
                <w:sz w:val="16"/>
                <w:szCs w:val="16"/>
              </w:rPr>
            </w:pPr>
            <w:r w:rsidRPr="00A6001A">
              <w:rPr>
                <w:rFonts w:ascii="Arial" w:eastAsia="MS PGothic" w:hAnsi="Arial" w:cs="Arial"/>
                <w:color w:val="000000" w:themeColor="text1"/>
                <w:sz w:val="16"/>
                <w:szCs w:val="16"/>
              </w:rPr>
              <w:t>Type 2: &lt;20us</w:t>
            </w:r>
          </w:p>
        </w:tc>
        <w:tc>
          <w:tcPr>
            <w:tcW w:w="248" w:type="pct"/>
            <w:shd w:val="clear" w:color="auto" w:fill="auto"/>
            <w:vAlign w:val="center"/>
          </w:tcPr>
          <w:p w14:paraId="216B1883" w14:textId="77777777" w:rsidR="004337EE" w:rsidRPr="00A6001A" w:rsidRDefault="004337EE" w:rsidP="002F7C4F">
            <w:pPr>
              <w:adjustRightInd w:val="0"/>
              <w:snapToGrid w:val="0"/>
              <w:rPr>
                <w:rFonts w:ascii="Arial" w:eastAsia="MS PGothic" w:hAnsi="Arial" w:cs="Arial"/>
                <w:color w:val="000000" w:themeColor="text1"/>
                <w:sz w:val="16"/>
                <w:szCs w:val="16"/>
              </w:rPr>
            </w:pPr>
            <w:r w:rsidRPr="00A6001A">
              <w:rPr>
                <w:rFonts w:ascii="Arial" w:eastAsia="MS PGothic" w:hAnsi="Arial" w:cs="Arial" w:hint="eastAsia"/>
                <w:color w:val="000000" w:themeColor="text1"/>
                <w:sz w:val="16"/>
                <w:szCs w:val="16"/>
              </w:rPr>
              <w:t>1</w:t>
            </w:r>
            <w:r w:rsidRPr="00A6001A">
              <w:rPr>
                <w:rFonts w:ascii="Arial" w:eastAsia="MS PGothic" w:hAnsi="Arial" w:cs="Arial"/>
                <w:color w:val="000000" w:themeColor="text1"/>
                <w:sz w:val="16"/>
                <w:szCs w:val="16"/>
              </w:rPr>
              <w:t>-1</w:t>
            </w:r>
            <w:r>
              <w:rPr>
                <w:rFonts w:ascii="Arial" w:eastAsia="MS PGothic" w:hAnsi="Arial" w:cs="Arial"/>
                <w:color w:val="000000" w:themeColor="text1"/>
                <w:sz w:val="16"/>
                <w:szCs w:val="16"/>
              </w:rPr>
              <w:t>0</w:t>
            </w:r>
          </w:p>
        </w:tc>
        <w:tc>
          <w:tcPr>
            <w:tcW w:w="249" w:type="pct"/>
            <w:shd w:val="clear" w:color="auto" w:fill="auto"/>
            <w:vAlign w:val="center"/>
          </w:tcPr>
          <w:p w14:paraId="24980ECA" w14:textId="77777777" w:rsidR="004337EE" w:rsidRPr="00A6001A" w:rsidRDefault="004337EE" w:rsidP="002F7C4F">
            <w:pPr>
              <w:adjustRightInd w:val="0"/>
              <w:snapToGrid w:val="0"/>
              <w:rPr>
                <w:rFonts w:ascii="Arial" w:eastAsia="MS PGothic" w:hAnsi="Arial" w:cs="Arial"/>
                <w:color w:val="000000" w:themeColor="text1"/>
                <w:sz w:val="16"/>
                <w:szCs w:val="16"/>
              </w:rPr>
            </w:pPr>
            <w:r w:rsidRPr="00A6001A">
              <w:rPr>
                <w:rFonts w:ascii="Arial" w:eastAsia="MS PGothic" w:hAnsi="Arial" w:cs="Arial"/>
                <w:color w:val="000000" w:themeColor="text1"/>
                <w:sz w:val="16"/>
                <w:szCs w:val="16"/>
              </w:rPr>
              <w:t>Yes</w:t>
            </w:r>
          </w:p>
        </w:tc>
        <w:tc>
          <w:tcPr>
            <w:tcW w:w="470" w:type="pct"/>
            <w:shd w:val="clear" w:color="auto" w:fill="auto"/>
            <w:vAlign w:val="center"/>
          </w:tcPr>
          <w:p w14:paraId="787C33DF" w14:textId="77777777" w:rsidR="004337EE" w:rsidRPr="00A6001A" w:rsidRDefault="004337EE" w:rsidP="002F7C4F">
            <w:pPr>
              <w:adjustRightInd w:val="0"/>
              <w:snapToGrid w:val="0"/>
              <w:rPr>
                <w:rFonts w:ascii="Arial" w:eastAsia="MS PGothic" w:hAnsi="Arial" w:cs="Arial"/>
                <w:color w:val="000000" w:themeColor="text1"/>
                <w:sz w:val="16"/>
                <w:szCs w:val="16"/>
              </w:rPr>
            </w:pPr>
            <w:r w:rsidRPr="00A6001A">
              <w:rPr>
                <w:rFonts w:ascii="Arial" w:eastAsia="MS PGothic" w:hAnsi="Arial" w:cs="Arial"/>
                <w:color w:val="000000" w:themeColor="text1"/>
                <w:sz w:val="16"/>
                <w:szCs w:val="16"/>
              </w:rPr>
              <w:t>UE does not support UL subcarrier alignment between LTE and NR for EN-DC with LTE-NR coexistence in UL</w:t>
            </w:r>
          </w:p>
        </w:tc>
        <w:tc>
          <w:tcPr>
            <w:tcW w:w="397" w:type="pct"/>
            <w:shd w:val="clear" w:color="auto" w:fill="auto"/>
            <w:vAlign w:val="center"/>
          </w:tcPr>
          <w:p w14:paraId="4FDEDFB5" w14:textId="77777777" w:rsidR="004337EE" w:rsidRPr="00A6001A" w:rsidRDefault="004337EE" w:rsidP="002F7C4F">
            <w:pPr>
              <w:adjustRightInd w:val="0"/>
              <w:snapToGrid w:val="0"/>
              <w:rPr>
                <w:rFonts w:ascii="Arial" w:eastAsia="MS PGothic" w:hAnsi="Arial" w:cs="Arial"/>
                <w:strike/>
                <w:color w:val="000000" w:themeColor="text1"/>
                <w:sz w:val="16"/>
                <w:szCs w:val="16"/>
              </w:rPr>
            </w:pPr>
            <w:r w:rsidRPr="00A6001A">
              <w:rPr>
                <w:rFonts w:ascii="Arial" w:eastAsia="MS PGothic" w:hAnsi="Arial" w:cs="Arial"/>
                <w:color w:val="000000" w:themeColor="text1"/>
                <w:sz w:val="16"/>
                <w:szCs w:val="16"/>
              </w:rPr>
              <w:t>Type 3 (per band combination)</w:t>
            </w:r>
          </w:p>
        </w:tc>
        <w:tc>
          <w:tcPr>
            <w:tcW w:w="328" w:type="pct"/>
            <w:shd w:val="clear" w:color="auto" w:fill="auto"/>
            <w:vAlign w:val="center"/>
          </w:tcPr>
          <w:p w14:paraId="3438F999" w14:textId="77777777" w:rsidR="004337EE" w:rsidRPr="00A6001A" w:rsidRDefault="004337EE" w:rsidP="002F7C4F">
            <w:pPr>
              <w:adjustRightInd w:val="0"/>
              <w:snapToGrid w:val="0"/>
              <w:rPr>
                <w:rFonts w:ascii="Arial" w:eastAsia="MS PGothic" w:hAnsi="Arial" w:cs="Arial"/>
                <w:color w:val="000000" w:themeColor="text1"/>
                <w:sz w:val="16"/>
                <w:szCs w:val="16"/>
              </w:rPr>
            </w:pPr>
            <w:r w:rsidRPr="00A6001A">
              <w:rPr>
                <w:rFonts w:ascii="Arial" w:eastAsia="MS PGothic" w:hAnsi="Arial" w:cs="Arial"/>
                <w:color w:val="000000" w:themeColor="text1"/>
                <w:sz w:val="16"/>
                <w:szCs w:val="16"/>
              </w:rPr>
              <w:t>No Need</w:t>
            </w:r>
          </w:p>
        </w:tc>
        <w:tc>
          <w:tcPr>
            <w:tcW w:w="328" w:type="pct"/>
            <w:shd w:val="clear" w:color="auto" w:fill="auto"/>
            <w:noWrap/>
            <w:vAlign w:val="center"/>
          </w:tcPr>
          <w:p w14:paraId="08CC2A11" w14:textId="77777777" w:rsidR="004337EE" w:rsidRPr="00A6001A" w:rsidRDefault="004337EE" w:rsidP="002F7C4F">
            <w:pPr>
              <w:adjustRightInd w:val="0"/>
              <w:snapToGrid w:val="0"/>
              <w:rPr>
                <w:rFonts w:ascii="Arial" w:eastAsia="MS PGothic" w:hAnsi="Arial" w:cs="Arial"/>
                <w:color w:val="000000" w:themeColor="text1"/>
                <w:sz w:val="16"/>
                <w:szCs w:val="16"/>
              </w:rPr>
            </w:pPr>
            <w:r w:rsidRPr="00A6001A">
              <w:rPr>
                <w:rFonts w:ascii="Arial" w:eastAsia="MS PGothic" w:hAnsi="Arial" w:cs="Arial"/>
                <w:color w:val="000000" w:themeColor="text1"/>
                <w:sz w:val="16"/>
                <w:szCs w:val="16"/>
              </w:rPr>
              <w:t>Applicable only to FR1</w:t>
            </w:r>
          </w:p>
        </w:tc>
        <w:tc>
          <w:tcPr>
            <w:tcW w:w="328" w:type="pct"/>
            <w:shd w:val="clear" w:color="auto" w:fill="auto"/>
            <w:vAlign w:val="center"/>
          </w:tcPr>
          <w:p w14:paraId="1B768C98" w14:textId="77777777" w:rsidR="004337EE" w:rsidRPr="00A6001A" w:rsidRDefault="004337EE" w:rsidP="002F7C4F">
            <w:pPr>
              <w:adjustRightInd w:val="0"/>
              <w:snapToGrid w:val="0"/>
              <w:rPr>
                <w:rFonts w:ascii="Arial" w:eastAsia="MS PGothic" w:hAnsi="Arial" w:cs="Arial"/>
                <w:color w:val="000000" w:themeColor="text1"/>
                <w:sz w:val="16"/>
                <w:szCs w:val="16"/>
              </w:rPr>
            </w:pPr>
          </w:p>
        </w:tc>
        <w:tc>
          <w:tcPr>
            <w:tcW w:w="773" w:type="pct"/>
            <w:shd w:val="clear" w:color="auto" w:fill="auto"/>
            <w:vAlign w:val="center"/>
          </w:tcPr>
          <w:p w14:paraId="2DFC6276" w14:textId="77777777" w:rsidR="004337EE" w:rsidRPr="00A6001A" w:rsidRDefault="004337EE" w:rsidP="002F7C4F">
            <w:pPr>
              <w:snapToGrid w:val="0"/>
              <w:rPr>
                <w:rFonts w:ascii="Arial" w:eastAsia="MS PGothic" w:hAnsi="Arial" w:cs="Arial"/>
                <w:color w:val="000000" w:themeColor="text1"/>
                <w:sz w:val="16"/>
                <w:szCs w:val="16"/>
                <w:lang w:val="en-GB"/>
              </w:rPr>
            </w:pPr>
            <w:r w:rsidRPr="00A6001A">
              <w:rPr>
                <w:rFonts w:ascii="Arial" w:eastAsia="MS PGothic" w:hAnsi="Arial" w:cs="Arial"/>
                <w:color w:val="000000" w:themeColor="text1"/>
                <w:sz w:val="16"/>
                <w:szCs w:val="16"/>
                <w:lang w:val="en-GB"/>
              </w:rPr>
              <w:t>This feature is the switching time between LTE UL and NR UL in the same carrier</w:t>
            </w:r>
          </w:p>
          <w:p w14:paraId="465A0808" w14:textId="77777777" w:rsidR="004337EE" w:rsidRPr="00A6001A" w:rsidRDefault="004337EE" w:rsidP="002F7C4F">
            <w:pPr>
              <w:snapToGrid w:val="0"/>
              <w:rPr>
                <w:rFonts w:ascii="Arial" w:eastAsia="MS PGothic" w:hAnsi="Arial" w:cs="Arial"/>
                <w:color w:val="000000" w:themeColor="text1"/>
                <w:sz w:val="16"/>
                <w:szCs w:val="16"/>
                <w:lang w:val="en-GB"/>
              </w:rPr>
            </w:pPr>
          </w:p>
          <w:p w14:paraId="06F2F978" w14:textId="77777777" w:rsidR="004337EE" w:rsidRPr="00A6001A" w:rsidRDefault="004337EE" w:rsidP="002F7C4F">
            <w:pPr>
              <w:snapToGrid w:val="0"/>
              <w:rPr>
                <w:rFonts w:ascii="Arial" w:eastAsia="MS PGothic" w:hAnsi="Arial" w:cs="Arial"/>
                <w:color w:val="000000" w:themeColor="text1"/>
                <w:sz w:val="16"/>
                <w:szCs w:val="16"/>
              </w:rPr>
            </w:pPr>
            <w:r w:rsidRPr="00A6001A">
              <w:rPr>
                <w:rFonts w:ascii="Arial" w:eastAsia="MS PGothic" w:hAnsi="Arial" w:cs="Arial"/>
                <w:color w:val="000000" w:themeColor="text1"/>
                <w:sz w:val="16"/>
                <w:szCs w:val="16"/>
              </w:rPr>
              <w:t>Per band combination signalling (Type 3)</w:t>
            </w:r>
          </w:p>
          <w:p w14:paraId="32592CEA" w14:textId="77777777" w:rsidR="004337EE" w:rsidRPr="00A6001A" w:rsidRDefault="004337EE" w:rsidP="002F7C4F">
            <w:pPr>
              <w:snapToGrid w:val="0"/>
              <w:rPr>
                <w:rFonts w:ascii="Arial" w:eastAsia="MS PGothic" w:hAnsi="Arial" w:cs="Arial"/>
                <w:color w:val="000000" w:themeColor="text1"/>
                <w:sz w:val="16"/>
                <w:szCs w:val="16"/>
                <w:lang w:val="en-GB"/>
              </w:rPr>
            </w:pPr>
          </w:p>
          <w:p w14:paraId="221CC8F4" w14:textId="77777777" w:rsidR="004337EE" w:rsidRPr="00A6001A" w:rsidRDefault="004337EE" w:rsidP="002F7C4F">
            <w:pPr>
              <w:snapToGrid w:val="0"/>
              <w:rPr>
                <w:rFonts w:ascii="Arial" w:eastAsia="MS PGothic" w:hAnsi="Arial" w:cs="Arial"/>
                <w:color w:val="000000" w:themeColor="text1"/>
                <w:sz w:val="16"/>
                <w:szCs w:val="16"/>
                <w:lang w:val="en-GB"/>
              </w:rPr>
            </w:pPr>
            <w:r w:rsidRPr="00A6001A">
              <w:rPr>
                <w:rFonts w:ascii="Arial" w:eastAsia="MS PGothic" w:hAnsi="Arial" w:cs="Arial"/>
                <w:color w:val="000000" w:themeColor="text1"/>
                <w:sz w:val="16"/>
                <w:szCs w:val="16"/>
                <w:lang w:val="en-GB"/>
              </w:rPr>
              <w:t xml:space="preserve">UE Capability signalling elements. </w:t>
            </w:r>
            <w:r w:rsidRPr="00A6001A">
              <w:rPr>
                <w:rFonts w:ascii="Arial" w:eastAsia="MS PGothic" w:hAnsi="Arial" w:cs="Arial"/>
                <w:color w:val="000000" w:themeColor="text1"/>
                <w:sz w:val="16"/>
                <w:szCs w:val="16"/>
                <w:lang w:val="en-GB"/>
              </w:rPr>
              <w:br/>
              <w:t>1: ~0us switching type.</w:t>
            </w:r>
          </w:p>
          <w:p w14:paraId="4555F81B" w14:textId="77777777" w:rsidR="004337EE" w:rsidRPr="00A6001A" w:rsidRDefault="004337EE" w:rsidP="002F7C4F">
            <w:pPr>
              <w:snapToGrid w:val="0"/>
              <w:rPr>
                <w:rFonts w:ascii="Arial" w:eastAsia="MS PGothic" w:hAnsi="Arial" w:cs="Arial"/>
                <w:color w:val="000000" w:themeColor="text1"/>
                <w:sz w:val="16"/>
                <w:szCs w:val="16"/>
                <w:lang w:val="en-GB"/>
              </w:rPr>
            </w:pPr>
            <w:r w:rsidRPr="00A6001A">
              <w:rPr>
                <w:rFonts w:ascii="Arial" w:eastAsia="MS PGothic" w:hAnsi="Arial" w:cs="Arial"/>
                <w:color w:val="000000" w:themeColor="text1"/>
                <w:sz w:val="16"/>
                <w:szCs w:val="16"/>
                <w:lang w:val="en-GB"/>
              </w:rPr>
              <w:t xml:space="preserve">2: &lt;20us switching type. </w:t>
            </w:r>
          </w:p>
          <w:p w14:paraId="0E1BF7E2" w14:textId="77777777" w:rsidR="004337EE" w:rsidRPr="00A6001A" w:rsidRDefault="004337EE" w:rsidP="002F7C4F">
            <w:pPr>
              <w:snapToGrid w:val="0"/>
              <w:rPr>
                <w:rFonts w:ascii="Arial" w:eastAsia="MS PGothic" w:hAnsi="Arial" w:cs="Arial"/>
                <w:color w:val="000000" w:themeColor="text1"/>
                <w:sz w:val="16"/>
                <w:szCs w:val="16"/>
              </w:rPr>
            </w:pPr>
          </w:p>
        </w:tc>
        <w:tc>
          <w:tcPr>
            <w:tcW w:w="209" w:type="pct"/>
            <w:shd w:val="clear" w:color="auto" w:fill="auto"/>
            <w:vAlign w:val="center"/>
          </w:tcPr>
          <w:p w14:paraId="620144EF" w14:textId="77777777" w:rsidR="004337EE" w:rsidRPr="00A6001A" w:rsidRDefault="004337EE" w:rsidP="002F7C4F">
            <w:pPr>
              <w:adjustRightInd w:val="0"/>
              <w:snapToGrid w:val="0"/>
              <w:rPr>
                <w:rFonts w:ascii="Arial" w:eastAsia="MS PGothic" w:hAnsi="Arial" w:cs="Arial"/>
                <w:color w:val="000000" w:themeColor="text1"/>
                <w:sz w:val="16"/>
                <w:szCs w:val="16"/>
              </w:rPr>
            </w:pPr>
            <w:r w:rsidRPr="00A6001A">
              <w:rPr>
                <w:rFonts w:ascii="Arial" w:eastAsia="MS PGothic" w:hAnsi="Arial" w:cs="Arial"/>
                <w:color w:val="000000" w:themeColor="text1"/>
                <w:sz w:val="16"/>
                <w:szCs w:val="16"/>
              </w:rPr>
              <w:t>RAN4</w:t>
            </w:r>
          </w:p>
        </w:tc>
        <w:tc>
          <w:tcPr>
            <w:tcW w:w="293" w:type="pct"/>
            <w:shd w:val="clear" w:color="auto" w:fill="auto"/>
            <w:vAlign w:val="center"/>
          </w:tcPr>
          <w:p w14:paraId="65BE68A0" w14:textId="77777777" w:rsidR="004337EE" w:rsidRPr="00A6001A" w:rsidRDefault="004337EE" w:rsidP="002F7C4F">
            <w:pPr>
              <w:adjustRightInd w:val="0"/>
              <w:snapToGrid w:val="0"/>
              <w:rPr>
                <w:rFonts w:ascii="Arial" w:eastAsia="MS PGothic" w:hAnsi="Arial" w:cs="Arial"/>
                <w:color w:val="000000" w:themeColor="text1"/>
                <w:sz w:val="16"/>
                <w:szCs w:val="16"/>
              </w:rPr>
            </w:pPr>
          </w:p>
        </w:tc>
        <w:tc>
          <w:tcPr>
            <w:tcW w:w="143" w:type="pct"/>
            <w:shd w:val="clear" w:color="auto" w:fill="auto"/>
            <w:noWrap/>
            <w:vAlign w:val="center"/>
          </w:tcPr>
          <w:p w14:paraId="54C0C03A" w14:textId="77777777" w:rsidR="004337EE" w:rsidRPr="00A6001A" w:rsidRDefault="004337EE" w:rsidP="002F7C4F">
            <w:pPr>
              <w:adjustRightInd w:val="0"/>
              <w:snapToGrid w:val="0"/>
              <w:rPr>
                <w:rFonts w:ascii="Arial" w:eastAsia="MS PGothic" w:hAnsi="Arial" w:cs="Arial"/>
                <w:color w:val="000000" w:themeColor="text1"/>
                <w:sz w:val="16"/>
                <w:szCs w:val="16"/>
              </w:rPr>
            </w:pPr>
          </w:p>
        </w:tc>
      </w:tr>
    </w:tbl>
    <w:p w14:paraId="419D8FE3" w14:textId="77777777" w:rsidR="004337EE" w:rsidRDefault="004337EE" w:rsidP="005F0967">
      <w:pPr>
        <w:jc w:val="both"/>
        <w:rPr>
          <w:rFonts w:eastAsia="新細明體"/>
          <w:lang w:eastAsia="zh-TW"/>
        </w:rPr>
      </w:pPr>
    </w:p>
    <w:p w14:paraId="54A5E190" w14:textId="7DD8150D" w:rsidR="008D70C6" w:rsidRPr="00EE602F" w:rsidRDefault="008D70C6" w:rsidP="005F0967">
      <w:pPr>
        <w:jc w:val="both"/>
        <w:rPr>
          <w:rFonts w:eastAsia="新細明體"/>
          <w:lang w:eastAsia="zh-TW"/>
        </w:rPr>
      </w:pPr>
      <w:r>
        <w:rPr>
          <w:rFonts w:eastAsia="新細明體" w:hint="eastAsia"/>
          <w:lang w:eastAsia="zh-TW"/>
        </w:rPr>
        <w:t xml:space="preserve">In </w:t>
      </w:r>
      <w:r w:rsidR="0057659A">
        <w:rPr>
          <w:rFonts w:eastAsia="新細明體"/>
          <w:lang w:eastAsia="zh-TW"/>
        </w:rPr>
        <w:t xml:space="preserve">the </w:t>
      </w:r>
      <w:r>
        <w:rPr>
          <w:rFonts w:eastAsia="新細明體" w:hint="eastAsia"/>
          <w:lang w:eastAsia="zh-TW"/>
        </w:rPr>
        <w:t xml:space="preserve">last meeting, additional condition of </w:t>
      </w:r>
      <w:r>
        <w:rPr>
          <w:rFonts w:eastAsia="新細明體"/>
          <w:lang w:eastAsia="zh-TW"/>
        </w:rPr>
        <w:t xml:space="preserve">same carrier between LTE and NR is added to </w:t>
      </w:r>
      <w:r w:rsidR="0057659A">
        <w:rPr>
          <w:rFonts w:eastAsia="新細明體"/>
          <w:lang w:eastAsia="zh-TW"/>
        </w:rPr>
        <w:t xml:space="preserve">clarify the </w:t>
      </w:r>
      <w:r>
        <w:rPr>
          <w:rFonts w:eastAsia="新細明體"/>
          <w:lang w:eastAsia="zh-TW"/>
        </w:rPr>
        <w:t xml:space="preserve"> requirement</w:t>
      </w:r>
      <w:r w:rsidR="0057659A">
        <w:rPr>
          <w:rFonts w:eastAsia="新細明體"/>
          <w:lang w:eastAsia="zh-TW"/>
        </w:rPr>
        <w:t>:</w:t>
      </w:r>
    </w:p>
    <w:tbl>
      <w:tblPr>
        <w:tblStyle w:val="ad"/>
        <w:tblW w:w="0" w:type="auto"/>
        <w:tblLook w:val="04A0" w:firstRow="1" w:lastRow="0" w:firstColumn="1" w:lastColumn="0" w:noHBand="0" w:noVBand="1"/>
      </w:tblPr>
      <w:tblGrid>
        <w:gridCol w:w="9629"/>
      </w:tblGrid>
      <w:tr w:rsidR="005C1753" w14:paraId="67FE8778" w14:textId="77777777" w:rsidTr="005C1753">
        <w:tc>
          <w:tcPr>
            <w:tcW w:w="9629" w:type="dxa"/>
          </w:tcPr>
          <w:p w14:paraId="7ACB3E68" w14:textId="77777777" w:rsidR="006E7BFF" w:rsidRPr="007F2A0A" w:rsidRDefault="006E7BFF" w:rsidP="006E7BFF">
            <w:pPr>
              <w:pStyle w:val="Doc-text2"/>
              <w:ind w:left="363"/>
              <w:rPr>
                <w:sz w:val="20"/>
                <w:lang w:val="x-none"/>
              </w:rPr>
            </w:pPr>
            <w:r w:rsidRPr="007F2A0A">
              <w:rPr>
                <w:sz w:val="20"/>
                <w:lang w:val="x-none"/>
              </w:rPr>
              <w:lastRenderedPageBreak/>
              <w:t>Agreements</w:t>
            </w:r>
          </w:p>
          <w:p w14:paraId="6226079A" w14:textId="77777777" w:rsidR="005C1753" w:rsidRPr="006E7BFF" w:rsidRDefault="00EE602F" w:rsidP="00EE602F">
            <w:pPr>
              <w:pStyle w:val="Doc-text2"/>
              <w:ind w:left="363" w:firstLine="0"/>
              <w:rPr>
                <w:lang w:val="x-none" w:eastAsia="zh-TW"/>
              </w:rPr>
            </w:pPr>
            <w:r w:rsidRPr="00EE602F">
              <w:rPr>
                <w:sz w:val="20"/>
                <w:lang w:val="x-none"/>
              </w:rPr>
              <w:t xml:space="preserve">Keep the name of feature “Switching time between LTE UL and NR UL for EN-DC with LTE-NR coexistence in UL sharing from UE perspective”. Add the clarifications in the remark column to clarify this feature is the switching time between LTE UL and NR UL </w:t>
            </w:r>
            <w:r w:rsidRPr="008D70C6">
              <w:rPr>
                <w:sz w:val="20"/>
                <w:highlight w:val="yellow"/>
                <w:lang w:val="x-none"/>
              </w:rPr>
              <w:t>in the same carrier</w:t>
            </w:r>
          </w:p>
        </w:tc>
      </w:tr>
    </w:tbl>
    <w:p w14:paraId="2A9FEF58" w14:textId="77777777" w:rsidR="005C1753" w:rsidRDefault="005C1753" w:rsidP="005F0967">
      <w:pPr>
        <w:jc w:val="both"/>
        <w:rPr>
          <w:rFonts w:eastAsia="新細明體"/>
          <w:lang w:eastAsia="zh-TW"/>
        </w:rPr>
      </w:pPr>
    </w:p>
    <w:p w14:paraId="54ADDA42" w14:textId="77777777" w:rsidR="0057659A" w:rsidRDefault="008D70C6" w:rsidP="005F0967">
      <w:pPr>
        <w:jc w:val="both"/>
        <w:rPr>
          <w:rFonts w:eastAsia="新細明體"/>
          <w:lang w:eastAsia="zh-TW"/>
        </w:rPr>
      </w:pPr>
      <w:r>
        <w:rPr>
          <w:rFonts w:eastAsia="新細明體" w:hint="eastAsia"/>
          <w:lang w:eastAsia="zh-TW"/>
        </w:rPr>
        <w:t xml:space="preserve">However, </w:t>
      </w:r>
      <w:r w:rsidR="0057659A">
        <w:rPr>
          <w:rFonts w:eastAsia="新細明體"/>
          <w:lang w:eastAsia="zh-TW"/>
        </w:rPr>
        <w:t>from UE implementation viewpoint, we think there are other factors affecting the actual switching time, including:</w:t>
      </w:r>
    </w:p>
    <w:p w14:paraId="2C9B0745" w14:textId="377C60E5" w:rsidR="0057659A" w:rsidRDefault="008D70C6" w:rsidP="0060088C">
      <w:pPr>
        <w:pStyle w:val="a9"/>
        <w:numPr>
          <w:ilvl w:val="0"/>
          <w:numId w:val="47"/>
        </w:numPr>
        <w:jc w:val="both"/>
        <w:rPr>
          <w:rFonts w:eastAsia="新細明體"/>
          <w:lang w:eastAsia="zh-TW"/>
        </w:rPr>
      </w:pPr>
      <w:r w:rsidRPr="0060088C">
        <w:rPr>
          <w:rFonts w:eastAsia="新細明體"/>
          <w:lang w:eastAsia="zh-TW"/>
        </w:rPr>
        <w:t xml:space="preserve">NR and LTE </w:t>
      </w:r>
      <w:r w:rsidR="0057659A">
        <w:rPr>
          <w:rFonts w:eastAsia="新細明體"/>
          <w:lang w:eastAsia="zh-TW"/>
        </w:rPr>
        <w:t xml:space="preserve">may have different </w:t>
      </w:r>
      <w:r w:rsidRPr="0060088C">
        <w:rPr>
          <w:rFonts w:eastAsia="新細明體"/>
          <w:lang w:eastAsia="zh-TW"/>
        </w:rPr>
        <w:t>numerology and slot structure</w:t>
      </w:r>
    </w:p>
    <w:p w14:paraId="5272AE1E" w14:textId="2321962C" w:rsidR="0057659A" w:rsidRDefault="0057659A" w:rsidP="0060088C">
      <w:pPr>
        <w:pStyle w:val="a9"/>
        <w:numPr>
          <w:ilvl w:val="0"/>
          <w:numId w:val="47"/>
        </w:numPr>
        <w:jc w:val="both"/>
        <w:rPr>
          <w:rFonts w:eastAsia="新細明體"/>
          <w:lang w:eastAsia="zh-TW"/>
        </w:rPr>
      </w:pPr>
      <w:r>
        <w:rPr>
          <w:rFonts w:eastAsia="新細明體"/>
          <w:lang w:eastAsia="zh-TW"/>
        </w:rPr>
        <w:t>NR and LTE may have different</w:t>
      </w:r>
      <w:r w:rsidR="008D70C6" w:rsidRPr="0060088C">
        <w:rPr>
          <w:rFonts w:eastAsia="新細明體"/>
          <w:lang w:eastAsia="zh-TW"/>
        </w:rPr>
        <w:t xml:space="preserve"> RF bandwidth</w:t>
      </w:r>
    </w:p>
    <w:p w14:paraId="148E9CC1" w14:textId="3504EC36" w:rsidR="00DB67A4" w:rsidRDefault="00E94AC2" w:rsidP="0060088C">
      <w:pPr>
        <w:pStyle w:val="a9"/>
        <w:numPr>
          <w:ilvl w:val="0"/>
          <w:numId w:val="47"/>
        </w:numPr>
        <w:jc w:val="both"/>
        <w:rPr>
          <w:rFonts w:eastAsia="新細明體"/>
          <w:lang w:eastAsia="zh-TW"/>
        </w:rPr>
      </w:pPr>
      <w:r>
        <w:rPr>
          <w:rFonts w:eastAsia="新細明體"/>
          <w:lang w:eastAsia="zh-TW"/>
        </w:rPr>
        <w:t>Extra t</w:t>
      </w:r>
      <w:r w:rsidRPr="00C950F8">
        <w:rPr>
          <w:rFonts w:eastAsia="新細明體"/>
          <w:lang w:eastAsia="zh-TW"/>
        </w:rPr>
        <w:t xml:space="preserve">iming alignment </w:t>
      </w:r>
      <w:r>
        <w:rPr>
          <w:rFonts w:eastAsia="新細明體"/>
          <w:lang w:eastAsia="zh-TW"/>
        </w:rPr>
        <w:t xml:space="preserve">may be needed between </w:t>
      </w:r>
      <w:r w:rsidR="0057659A">
        <w:rPr>
          <w:rFonts w:eastAsia="新細明體"/>
          <w:lang w:eastAsia="zh-TW"/>
        </w:rPr>
        <w:t>NR and LTE</w:t>
      </w:r>
    </w:p>
    <w:p w14:paraId="3E204226" w14:textId="6196D5D5" w:rsidR="0057659A" w:rsidRDefault="00DB67A4" w:rsidP="0060088C">
      <w:pPr>
        <w:pStyle w:val="a9"/>
        <w:numPr>
          <w:ilvl w:val="1"/>
          <w:numId w:val="47"/>
        </w:numPr>
        <w:jc w:val="both"/>
        <w:rPr>
          <w:rFonts w:eastAsia="新細明體"/>
          <w:lang w:eastAsia="zh-TW"/>
        </w:rPr>
      </w:pPr>
      <w:r>
        <w:rPr>
          <w:rFonts w:eastAsia="新細明體"/>
          <w:lang w:eastAsia="zh-TW"/>
        </w:rPr>
        <w:t xml:space="preserve">Note: to our understanding, there is only one agreement that normal UL and SUL are in the same TAG. </w:t>
      </w:r>
    </w:p>
    <w:p w14:paraId="769681D2" w14:textId="35308754" w:rsidR="00DB67A4" w:rsidRDefault="00DB67A4" w:rsidP="0060088C">
      <w:pPr>
        <w:pStyle w:val="a9"/>
        <w:numPr>
          <w:ilvl w:val="0"/>
          <w:numId w:val="47"/>
        </w:numPr>
        <w:jc w:val="both"/>
        <w:rPr>
          <w:rFonts w:eastAsia="新細明體"/>
          <w:lang w:eastAsia="zh-TW"/>
        </w:rPr>
      </w:pPr>
      <w:r>
        <w:rPr>
          <w:rFonts w:eastAsia="新細明體"/>
          <w:lang w:eastAsia="zh-TW"/>
        </w:rPr>
        <w:t xml:space="preserve">NR and LTE may have </w:t>
      </w:r>
      <w:r w:rsidR="008D70C6" w:rsidRPr="0060088C">
        <w:rPr>
          <w:rFonts w:eastAsia="新細明體"/>
          <w:lang w:eastAsia="zh-TW"/>
        </w:rPr>
        <w:t>TX performance requirement.</w:t>
      </w:r>
    </w:p>
    <w:p w14:paraId="06FF4336" w14:textId="20A0310D" w:rsidR="008D70C6" w:rsidRPr="0060088C" w:rsidRDefault="008D70C6" w:rsidP="00DB67A4">
      <w:pPr>
        <w:jc w:val="both"/>
        <w:rPr>
          <w:rFonts w:eastAsia="新細明體"/>
          <w:lang w:eastAsia="zh-TW"/>
        </w:rPr>
      </w:pPr>
      <w:r w:rsidRPr="0060088C">
        <w:rPr>
          <w:rFonts w:eastAsia="新細明體"/>
          <w:lang w:eastAsia="zh-TW"/>
        </w:rPr>
        <w:t xml:space="preserve"> Considering the evaluation effort</w:t>
      </w:r>
      <w:r w:rsidR="00DB67A4">
        <w:rPr>
          <w:rFonts w:eastAsia="新細明體"/>
          <w:lang w:eastAsia="zh-TW"/>
        </w:rPr>
        <w:t>s</w:t>
      </w:r>
      <w:r w:rsidRPr="0060088C">
        <w:rPr>
          <w:rFonts w:eastAsia="新細明體"/>
          <w:lang w:eastAsia="zh-TW"/>
        </w:rPr>
        <w:t xml:space="preserve"> and limited </w:t>
      </w:r>
      <w:r w:rsidR="00DB67A4">
        <w:rPr>
          <w:rFonts w:eastAsia="新細明體"/>
          <w:lang w:eastAsia="zh-TW"/>
        </w:rPr>
        <w:t xml:space="preserve">meeting </w:t>
      </w:r>
      <w:r w:rsidRPr="0060088C">
        <w:rPr>
          <w:rFonts w:eastAsia="新細明體"/>
          <w:lang w:eastAsia="zh-TW"/>
        </w:rPr>
        <w:t xml:space="preserve">time </w:t>
      </w:r>
      <w:r w:rsidR="00DB67A4">
        <w:rPr>
          <w:rFonts w:eastAsia="新細明體"/>
          <w:lang w:eastAsia="zh-TW"/>
        </w:rPr>
        <w:t>to finalize SUL in</w:t>
      </w:r>
      <w:r w:rsidRPr="0060088C">
        <w:rPr>
          <w:rFonts w:eastAsia="新細明體"/>
          <w:lang w:eastAsia="zh-TW"/>
        </w:rPr>
        <w:t xml:space="preserve"> Release 15, </w:t>
      </w:r>
      <w:r w:rsidR="00DB67A4">
        <w:rPr>
          <w:rFonts w:eastAsia="新細明體"/>
          <w:lang w:eastAsia="zh-TW"/>
        </w:rPr>
        <w:t xml:space="preserve">we suggest to </w:t>
      </w:r>
      <w:r w:rsidRPr="0060088C">
        <w:rPr>
          <w:rFonts w:eastAsia="新細明體"/>
          <w:lang w:eastAsia="zh-TW"/>
        </w:rPr>
        <w:t>limit the combination of NR and LTE numerology. For more complicated scenario</w:t>
      </w:r>
      <w:r w:rsidR="00DB67A4">
        <w:rPr>
          <w:rFonts w:eastAsia="新細明體"/>
          <w:lang w:eastAsia="zh-TW"/>
        </w:rPr>
        <w:t>s</w:t>
      </w:r>
      <w:r w:rsidRPr="0060088C">
        <w:rPr>
          <w:rFonts w:eastAsia="新細明體"/>
          <w:lang w:eastAsia="zh-TW"/>
        </w:rPr>
        <w:t xml:space="preserve">, </w:t>
      </w:r>
      <w:r w:rsidR="00DB67A4">
        <w:rPr>
          <w:rFonts w:eastAsia="新細明體"/>
          <w:lang w:eastAsia="zh-TW"/>
        </w:rPr>
        <w:t>they</w:t>
      </w:r>
      <w:r w:rsidRPr="0060088C">
        <w:rPr>
          <w:rFonts w:eastAsia="新細明體"/>
          <w:lang w:eastAsia="zh-TW"/>
        </w:rPr>
        <w:t xml:space="preserve"> can be </w:t>
      </w:r>
      <w:r w:rsidR="00E732B1" w:rsidRPr="0060088C">
        <w:rPr>
          <w:rFonts w:eastAsia="新細明體"/>
          <w:lang w:eastAsia="zh-TW"/>
        </w:rPr>
        <w:t>considered</w:t>
      </w:r>
      <w:r w:rsidRPr="0060088C">
        <w:rPr>
          <w:rFonts w:eastAsia="新細明體"/>
          <w:lang w:eastAsia="zh-TW"/>
        </w:rPr>
        <w:t xml:space="preserve"> </w:t>
      </w:r>
      <w:r w:rsidR="00DB67A4">
        <w:rPr>
          <w:rFonts w:eastAsia="新細明體"/>
          <w:lang w:eastAsia="zh-TW"/>
        </w:rPr>
        <w:t>in</w:t>
      </w:r>
      <w:r w:rsidR="00DB67A4" w:rsidRPr="0060088C">
        <w:rPr>
          <w:rFonts w:eastAsia="新細明體"/>
          <w:lang w:eastAsia="zh-TW"/>
        </w:rPr>
        <w:t xml:space="preserve"> </w:t>
      </w:r>
      <w:r w:rsidRPr="0060088C">
        <w:rPr>
          <w:rFonts w:eastAsia="新細明體"/>
          <w:lang w:eastAsia="zh-TW"/>
        </w:rPr>
        <w:t>future release</w:t>
      </w:r>
      <w:r w:rsidR="00DB67A4">
        <w:rPr>
          <w:rFonts w:eastAsia="新細明體"/>
          <w:lang w:eastAsia="zh-TW"/>
        </w:rPr>
        <w:t>s.</w:t>
      </w:r>
      <w:r w:rsidRPr="0060088C">
        <w:rPr>
          <w:rFonts w:eastAsia="新細明體"/>
          <w:lang w:eastAsia="zh-TW"/>
        </w:rPr>
        <w:t xml:space="preserve"> </w:t>
      </w:r>
    </w:p>
    <w:p w14:paraId="09C23414" w14:textId="77777777" w:rsidR="00E04CF3" w:rsidRDefault="00E04CF3" w:rsidP="00902288">
      <w:pPr>
        <w:jc w:val="both"/>
        <w:rPr>
          <w:rFonts w:eastAsia="SimSun" w:cs="Times New Roman"/>
          <w:b/>
          <w:i/>
          <w:lang w:eastAsia="x-none"/>
        </w:rPr>
      </w:pPr>
      <w:bookmarkStart w:id="7" w:name="_Ref509927755"/>
      <w:r w:rsidRPr="00BD6CC4">
        <w:rPr>
          <w:rFonts w:eastAsia="SimSun" w:cs="Times New Roman"/>
          <w:b/>
          <w:i/>
          <w:lang w:eastAsia="x-none"/>
        </w:rPr>
        <w:t xml:space="preserve">Proposal </w:t>
      </w:r>
      <w:r w:rsidRPr="00BD6CC4">
        <w:rPr>
          <w:rFonts w:eastAsia="SimSun" w:cs="Times New Roman"/>
          <w:b/>
          <w:i/>
          <w:lang w:eastAsia="x-none"/>
        </w:rPr>
        <w:fldChar w:fldCharType="begin"/>
      </w:r>
      <w:r w:rsidRPr="00BD6CC4">
        <w:rPr>
          <w:rFonts w:eastAsia="SimSun" w:cs="Times New Roman"/>
          <w:b/>
          <w:i/>
          <w:lang w:eastAsia="x-none"/>
        </w:rPr>
        <w:instrText xml:space="preserve"> SEQ Proposal \* ARABIC </w:instrText>
      </w:r>
      <w:r w:rsidRPr="00BD6CC4">
        <w:rPr>
          <w:rFonts w:eastAsia="SimSun" w:cs="Times New Roman"/>
          <w:b/>
          <w:i/>
          <w:lang w:eastAsia="x-none"/>
        </w:rPr>
        <w:fldChar w:fldCharType="separate"/>
      </w:r>
      <w:r w:rsidR="00902288" w:rsidRPr="00BD6CC4">
        <w:rPr>
          <w:rFonts w:eastAsia="SimSun" w:cs="Times New Roman"/>
          <w:b/>
          <w:i/>
          <w:lang w:eastAsia="x-none"/>
        </w:rPr>
        <w:t>1</w:t>
      </w:r>
      <w:r w:rsidRPr="00BD6CC4">
        <w:rPr>
          <w:rFonts w:eastAsia="SimSun" w:cs="Times New Roman"/>
          <w:b/>
          <w:i/>
          <w:lang w:eastAsia="x-none"/>
        </w:rPr>
        <w:fldChar w:fldCharType="end"/>
      </w:r>
      <w:r w:rsidRPr="00BD6CC4">
        <w:rPr>
          <w:rFonts w:eastAsia="SimSun" w:cs="Times New Roman"/>
          <w:b/>
          <w:i/>
          <w:lang w:eastAsia="x-none"/>
        </w:rPr>
        <w:t xml:space="preserve">: </w:t>
      </w:r>
      <w:r w:rsidR="003B1631" w:rsidRPr="00BD6CC4">
        <w:rPr>
          <w:rFonts w:eastAsia="SimSun" w:cs="Times New Roman"/>
          <w:b/>
          <w:i/>
          <w:lang w:eastAsia="x-none"/>
        </w:rPr>
        <w:t xml:space="preserve">For </w:t>
      </w:r>
      <w:r w:rsidR="008D70C6" w:rsidRPr="008D70C6">
        <w:rPr>
          <w:rFonts w:eastAsia="SimSun" w:cs="Times New Roman"/>
          <w:b/>
          <w:i/>
          <w:lang w:eastAsia="x-none"/>
        </w:rPr>
        <w:t>LTE UL and NR UL for EN-DC with LTE-NR coexistence in UL sharing from UE perspective</w:t>
      </w:r>
      <w:bookmarkEnd w:id="7"/>
      <w:r w:rsidR="008D70C6">
        <w:rPr>
          <w:rFonts w:eastAsia="SimSun" w:cs="Times New Roman"/>
          <w:b/>
          <w:i/>
          <w:lang w:eastAsia="x-none"/>
        </w:rPr>
        <w:t>, LTE and NR UL have the same bandwidth, center frequency and subcarrier spacing, and the timing must be aligned</w:t>
      </w:r>
      <w:r w:rsidR="00DB67A4">
        <w:rPr>
          <w:rFonts w:eastAsia="SimSun" w:cs="Times New Roman"/>
          <w:b/>
          <w:i/>
          <w:lang w:eastAsia="x-none"/>
        </w:rPr>
        <w:t>.</w:t>
      </w:r>
      <w:r w:rsidR="008D70C6">
        <w:rPr>
          <w:rFonts w:eastAsia="SimSun" w:cs="Times New Roman"/>
          <w:b/>
          <w:i/>
          <w:lang w:eastAsia="x-none"/>
        </w:rPr>
        <w:t xml:space="preserve"> </w:t>
      </w:r>
    </w:p>
    <w:p w14:paraId="7A54A559" w14:textId="3C4E7CD9" w:rsidR="008D70C6" w:rsidRDefault="008D70C6" w:rsidP="00902288">
      <w:pPr>
        <w:jc w:val="both"/>
        <w:rPr>
          <w:rFonts w:eastAsia="SimSun" w:cs="Times New Roman"/>
          <w:b/>
          <w:i/>
          <w:lang w:eastAsia="x-none"/>
        </w:rPr>
      </w:pPr>
      <w:r>
        <w:rPr>
          <w:rFonts w:eastAsia="SimSun" w:cs="Times New Roman"/>
          <w:b/>
          <w:i/>
          <w:lang w:eastAsia="x-none"/>
        </w:rPr>
        <w:t xml:space="preserve">Proposal 2: </w:t>
      </w:r>
      <w:r w:rsidRPr="00BD6CC4">
        <w:rPr>
          <w:rFonts w:eastAsia="SimSun" w:cs="Times New Roman"/>
          <w:b/>
          <w:i/>
          <w:lang w:eastAsia="x-none"/>
        </w:rPr>
        <w:t xml:space="preserve">For </w:t>
      </w:r>
      <w:r>
        <w:rPr>
          <w:rFonts w:eastAsia="SimSun" w:cs="Times New Roman"/>
          <w:b/>
          <w:i/>
          <w:lang w:eastAsia="x-none"/>
        </w:rPr>
        <w:t>capability of “</w:t>
      </w:r>
      <w:r w:rsidRPr="008D70C6">
        <w:rPr>
          <w:rFonts w:eastAsia="SimSun" w:cs="Times New Roman"/>
          <w:b/>
          <w:i/>
          <w:lang w:eastAsia="x-none"/>
        </w:rPr>
        <w:t>Switching time between LTE UL and NR UL for EN-DC with LTE-NR coexistence in UL sharing from UE perspective</w:t>
      </w:r>
      <w:r>
        <w:rPr>
          <w:rFonts w:eastAsia="SimSun" w:cs="Times New Roman"/>
          <w:b/>
          <w:i/>
          <w:lang w:eastAsia="x-none"/>
        </w:rPr>
        <w:t xml:space="preserve">”, </w:t>
      </w:r>
      <w:r w:rsidR="00DB67A4">
        <w:rPr>
          <w:rFonts w:eastAsia="SimSun" w:cs="Times New Roman"/>
          <w:b/>
          <w:i/>
          <w:lang w:eastAsia="x-none"/>
        </w:rPr>
        <w:t>it is clarified as follow:</w:t>
      </w:r>
    </w:p>
    <w:p w14:paraId="1C584F7B" w14:textId="2A186DAB" w:rsidR="008D70C6" w:rsidRPr="008D70C6" w:rsidRDefault="00DB67A4" w:rsidP="008D70C6">
      <w:pPr>
        <w:pStyle w:val="a9"/>
        <w:numPr>
          <w:ilvl w:val="0"/>
          <w:numId w:val="45"/>
        </w:numPr>
        <w:jc w:val="both"/>
        <w:rPr>
          <w:rFonts w:eastAsia="SimSun" w:cs="Times New Roman"/>
          <w:b/>
          <w:i/>
          <w:lang w:eastAsia="x-none"/>
        </w:rPr>
      </w:pPr>
      <w:r>
        <w:rPr>
          <w:rFonts w:eastAsia="SimSun" w:cs="Times New Roman"/>
          <w:b/>
          <w:i/>
          <w:lang w:eastAsia="x-none"/>
        </w:rPr>
        <w:t>The capability is only applied to the scenario that</w:t>
      </w:r>
      <w:r w:rsidR="00E94AC2">
        <w:rPr>
          <w:rFonts w:eastAsia="SimSun" w:cs="Times New Roman"/>
          <w:b/>
          <w:i/>
          <w:lang w:eastAsia="x-none"/>
        </w:rPr>
        <w:t xml:space="preserve"> </w:t>
      </w:r>
      <w:r w:rsidR="008D70C6" w:rsidRPr="008D70C6">
        <w:rPr>
          <w:rFonts w:eastAsia="SimSun" w:cs="Times New Roman"/>
          <w:b/>
          <w:i/>
          <w:lang w:eastAsia="x-none"/>
        </w:rPr>
        <w:t xml:space="preserve">LTE and NR UL have the same </w:t>
      </w:r>
      <w:r w:rsidR="00E94AC2">
        <w:rPr>
          <w:rFonts w:eastAsia="SimSun" w:cs="Times New Roman"/>
          <w:b/>
          <w:i/>
          <w:lang w:eastAsia="x-none"/>
        </w:rPr>
        <w:t xml:space="preserve">RF </w:t>
      </w:r>
      <w:r w:rsidR="008D70C6" w:rsidRPr="008D70C6">
        <w:rPr>
          <w:rFonts w:eastAsia="SimSun" w:cs="Times New Roman"/>
          <w:b/>
          <w:i/>
          <w:lang w:eastAsia="x-none"/>
        </w:rPr>
        <w:t>bandwidth, center frequency and subcarrier spacing, and the timing must be aligned</w:t>
      </w:r>
    </w:p>
    <w:p w14:paraId="795694B8" w14:textId="164E6ADB" w:rsidR="00F24D9D" w:rsidRPr="0060088C" w:rsidRDefault="00F24D9D" w:rsidP="0060088C">
      <w:pPr>
        <w:rPr>
          <w:rFonts w:eastAsia="新細明體"/>
          <w:lang w:eastAsia="zh-TW"/>
        </w:rPr>
      </w:pPr>
    </w:p>
    <w:p w14:paraId="099448AA" w14:textId="77777777" w:rsidR="00085372" w:rsidRDefault="000E004B" w:rsidP="008B6D18">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3</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p w14:paraId="18B468DE" w14:textId="77777777" w:rsidR="00AF27C3" w:rsidRDefault="00085372" w:rsidP="00AF27C3">
      <w:pPr>
        <w:jc w:val="both"/>
        <w:rPr>
          <w:rFonts w:ascii="Calibri" w:eastAsia="新細明體" w:hAnsi="Calibri" w:cs="Calibri"/>
          <w:color w:val="0D0D0D"/>
          <w:sz w:val="20"/>
          <w:lang w:eastAsia="zh-TW"/>
        </w:rPr>
      </w:pPr>
      <w:r w:rsidRPr="00085372">
        <w:rPr>
          <w:rFonts w:ascii="Calibri" w:eastAsia="新細明體" w:hAnsi="Calibri" w:cs="Calibri"/>
          <w:color w:val="0D0D0D"/>
          <w:sz w:val="20"/>
          <w:lang w:eastAsia="zh-TW"/>
        </w:rPr>
        <w:t>In the contribution,</w:t>
      </w:r>
      <w:bookmarkEnd w:id="0"/>
      <w:bookmarkEnd w:id="1"/>
      <w:bookmarkEnd w:id="3"/>
      <w:bookmarkEnd w:id="4"/>
      <w:bookmarkEnd w:id="5"/>
      <w:bookmarkEnd w:id="6"/>
      <w:r w:rsidR="00CB5FB6">
        <w:rPr>
          <w:rFonts w:ascii="Calibri" w:eastAsia="新細明體" w:hAnsi="Calibri" w:cs="Calibri"/>
          <w:color w:val="0D0D0D"/>
          <w:sz w:val="20"/>
          <w:lang w:eastAsia="zh-TW"/>
        </w:rPr>
        <w:t xml:space="preserve"> </w:t>
      </w:r>
      <w:r w:rsidR="00902288">
        <w:rPr>
          <w:rFonts w:ascii="Calibri" w:eastAsia="新細明體" w:hAnsi="Calibri" w:cs="Calibri"/>
          <w:color w:val="0D0D0D"/>
          <w:sz w:val="20"/>
          <w:lang w:eastAsia="zh-TW"/>
        </w:rPr>
        <w:t xml:space="preserve">we provide our view on the </w:t>
      </w:r>
      <w:r w:rsidR="008D70C6" w:rsidRPr="008D70C6">
        <w:rPr>
          <w:rFonts w:ascii="Calibri" w:eastAsia="新細明體" w:hAnsi="Calibri" w:cs="Calibri"/>
          <w:color w:val="0D0D0D"/>
          <w:sz w:val="20"/>
          <w:lang w:eastAsia="zh-TW"/>
        </w:rPr>
        <w:t>Switching time between LTE UL and NR UL for EN-DC with LTE-NR coexistence in UL sharing from UE perspective</w:t>
      </w:r>
      <w:r w:rsidR="00902288">
        <w:rPr>
          <w:rFonts w:ascii="Calibri" w:eastAsia="新細明體" w:hAnsi="Calibri" w:cs="Calibri"/>
          <w:color w:val="0D0D0D"/>
          <w:sz w:val="20"/>
          <w:lang w:eastAsia="zh-TW"/>
        </w:rPr>
        <w:t>. We have the following proposals:</w:t>
      </w:r>
    </w:p>
    <w:p w14:paraId="5C27CE95" w14:textId="77777777" w:rsidR="008D70C6" w:rsidRDefault="008D70C6" w:rsidP="008D70C6">
      <w:pPr>
        <w:jc w:val="both"/>
        <w:rPr>
          <w:rFonts w:eastAsia="SimSun" w:cs="Times New Roman"/>
          <w:b/>
          <w:i/>
          <w:lang w:eastAsia="x-none"/>
        </w:rPr>
      </w:pPr>
      <w:r w:rsidRPr="00BD6CC4">
        <w:rPr>
          <w:rFonts w:eastAsia="SimSun" w:cs="Times New Roman"/>
          <w:b/>
          <w:i/>
          <w:lang w:eastAsia="x-none"/>
        </w:rPr>
        <w:t xml:space="preserve">Proposal </w:t>
      </w:r>
      <w:r w:rsidRPr="00BD6CC4">
        <w:rPr>
          <w:rFonts w:eastAsia="SimSun" w:cs="Times New Roman"/>
          <w:b/>
          <w:i/>
          <w:lang w:eastAsia="x-none"/>
        </w:rPr>
        <w:fldChar w:fldCharType="begin"/>
      </w:r>
      <w:r w:rsidRPr="00BD6CC4">
        <w:rPr>
          <w:rFonts w:eastAsia="SimSun" w:cs="Times New Roman"/>
          <w:b/>
          <w:i/>
          <w:lang w:eastAsia="x-none"/>
        </w:rPr>
        <w:instrText xml:space="preserve"> SEQ Proposal \* ARABIC </w:instrText>
      </w:r>
      <w:r w:rsidRPr="00BD6CC4">
        <w:rPr>
          <w:rFonts w:eastAsia="SimSun" w:cs="Times New Roman"/>
          <w:b/>
          <w:i/>
          <w:lang w:eastAsia="x-none"/>
        </w:rPr>
        <w:fldChar w:fldCharType="separate"/>
      </w:r>
      <w:r w:rsidRPr="00BD6CC4">
        <w:rPr>
          <w:rFonts w:eastAsia="SimSun" w:cs="Times New Roman"/>
          <w:b/>
          <w:i/>
          <w:lang w:eastAsia="x-none"/>
        </w:rPr>
        <w:t>1</w:t>
      </w:r>
      <w:r w:rsidRPr="00BD6CC4">
        <w:rPr>
          <w:rFonts w:eastAsia="SimSun" w:cs="Times New Roman"/>
          <w:b/>
          <w:i/>
          <w:lang w:eastAsia="x-none"/>
        </w:rPr>
        <w:fldChar w:fldCharType="end"/>
      </w:r>
      <w:r w:rsidRPr="00BD6CC4">
        <w:rPr>
          <w:rFonts w:eastAsia="SimSun" w:cs="Times New Roman"/>
          <w:b/>
          <w:i/>
          <w:lang w:eastAsia="x-none"/>
        </w:rPr>
        <w:t xml:space="preserve">: For </w:t>
      </w:r>
      <w:r w:rsidRPr="008D70C6">
        <w:rPr>
          <w:rFonts w:eastAsia="SimSun" w:cs="Times New Roman"/>
          <w:b/>
          <w:i/>
          <w:lang w:eastAsia="x-none"/>
        </w:rPr>
        <w:t>LTE UL and NR UL for EN-DC with LTE-NR coexistence in UL sharing from UE perspective</w:t>
      </w:r>
      <w:r>
        <w:rPr>
          <w:rFonts w:eastAsia="SimSun" w:cs="Times New Roman"/>
          <w:b/>
          <w:i/>
          <w:lang w:eastAsia="x-none"/>
        </w:rPr>
        <w:t xml:space="preserve">, LTE and NR UL have the same bandwidth, center frequency and subcarrier spacing, and the timing must be aligned </w:t>
      </w:r>
    </w:p>
    <w:p w14:paraId="0A50BD44" w14:textId="77777777" w:rsidR="0060088C" w:rsidRDefault="0060088C" w:rsidP="0060088C">
      <w:pPr>
        <w:jc w:val="both"/>
        <w:rPr>
          <w:rFonts w:eastAsia="SimSun" w:cs="Times New Roman"/>
          <w:b/>
          <w:i/>
          <w:lang w:eastAsia="x-none"/>
        </w:rPr>
      </w:pPr>
      <w:r>
        <w:rPr>
          <w:rFonts w:eastAsia="SimSun" w:cs="Times New Roman"/>
          <w:b/>
          <w:i/>
          <w:lang w:eastAsia="x-none"/>
        </w:rPr>
        <w:t xml:space="preserve">Proposal 2: </w:t>
      </w:r>
      <w:r w:rsidRPr="00BD6CC4">
        <w:rPr>
          <w:rFonts w:eastAsia="SimSun" w:cs="Times New Roman"/>
          <w:b/>
          <w:i/>
          <w:lang w:eastAsia="x-none"/>
        </w:rPr>
        <w:t xml:space="preserve">For </w:t>
      </w:r>
      <w:r>
        <w:rPr>
          <w:rFonts w:eastAsia="SimSun" w:cs="Times New Roman"/>
          <w:b/>
          <w:i/>
          <w:lang w:eastAsia="x-none"/>
        </w:rPr>
        <w:t>capability of “</w:t>
      </w:r>
      <w:r w:rsidRPr="008D70C6">
        <w:rPr>
          <w:rFonts w:eastAsia="SimSun" w:cs="Times New Roman"/>
          <w:b/>
          <w:i/>
          <w:lang w:eastAsia="x-none"/>
        </w:rPr>
        <w:t>Switching time between LTE UL and NR UL for EN-DC with LTE-NR coexistence in UL sharing from UE perspective</w:t>
      </w:r>
      <w:r>
        <w:rPr>
          <w:rFonts w:eastAsia="SimSun" w:cs="Times New Roman"/>
          <w:b/>
          <w:i/>
          <w:lang w:eastAsia="x-none"/>
        </w:rPr>
        <w:t>”, it is clarified as follow:</w:t>
      </w:r>
    </w:p>
    <w:p w14:paraId="56798AA1" w14:textId="77777777" w:rsidR="0060088C" w:rsidRPr="008D70C6" w:rsidRDefault="0060088C" w:rsidP="0060088C">
      <w:pPr>
        <w:pStyle w:val="a9"/>
        <w:numPr>
          <w:ilvl w:val="0"/>
          <w:numId w:val="45"/>
        </w:numPr>
        <w:jc w:val="both"/>
        <w:rPr>
          <w:rFonts w:eastAsia="SimSun" w:cs="Times New Roman"/>
          <w:b/>
          <w:i/>
          <w:lang w:eastAsia="x-none"/>
        </w:rPr>
      </w:pPr>
      <w:r>
        <w:rPr>
          <w:rFonts w:eastAsia="SimSun" w:cs="Times New Roman"/>
          <w:b/>
          <w:i/>
          <w:lang w:eastAsia="x-none"/>
        </w:rPr>
        <w:t xml:space="preserve">The capability is only applied to the scenario that </w:t>
      </w:r>
      <w:r w:rsidRPr="008D70C6">
        <w:rPr>
          <w:rFonts w:eastAsia="SimSun" w:cs="Times New Roman"/>
          <w:b/>
          <w:i/>
          <w:lang w:eastAsia="x-none"/>
        </w:rPr>
        <w:t xml:space="preserve">LTE and NR UL have the same </w:t>
      </w:r>
      <w:r>
        <w:rPr>
          <w:rFonts w:eastAsia="SimSun" w:cs="Times New Roman"/>
          <w:b/>
          <w:i/>
          <w:lang w:eastAsia="x-none"/>
        </w:rPr>
        <w:t xml:space="preserve">RF </w:t>
      </w:r>
      <w:r w:rsidRPr="008D70C6">
        <w:rPr>
          <w:rFonts w:eastAsia="SimSun" w:cs="Times New Roman"/>
          <w:b/>
          <w:i/>
          <w:lang w:eastAsia="x-none"/>
        </w:rPr>
        <w:t>bandwidth, center frequency and subcarrier spacing, and the timing must be aligned</w:t>
      </w:r>
    </w:p>
    <w:p w14:paraId="6E5D26C7" w14:textId="77777777" w:rsidR="00AF7AA6" w:rsidRDefault="000E004B" w:rsidP="00AF7AA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14:paraId="06A5975C" w14:textId="77777777" w:rsidR="005C1753" w:rsidRPr="008D70C6" w:rsidRDefault="000A0C20" w:rsidP="008D70C6">
      <w:pPr>
        <w:pStyle w:val="1"/>
        <w:rPr>
          <w:rFonts w:asciiTheme="minorHAnsi" w:eastAsiaTheme="minorEastAsia" w:hAnsiTheme="minorHAnsi" w:cstheme="minorBidi"/>
          <w:sz w:val="22"/>
          <w:szCs w:val="22"/>
          <w:lang w:val="en-US" w:eastAsia="zh-TW"/>
        </w:rPr>
      </w:pPr>
      <w:r w:rsidRPr="000A0C20">
        <w:rPr>
          <w:rFonts w:asciiTheme="minorHAnsi" w:eastAsiaTheme="minorEastAsia" w:hAnsiTheme="minorHAnsi" w:cstheme="minorBidi"/>
          <w:sz w:val="22"/>
          <w:szCs w:val="22"/>
          <w:lang w:val="en-US" w:eastAsia="zh-TW"/>
        </w:rPr>
        <w:t>[1]</w:t>
      </w:r>
      <w:r>
        <w:rPr>
          <w:rFonts w:asciiTheme="minorHAnsi" w:eastAsiaTheme="minorEastAsia" w:hAnsiTheme="minorHAnsi" w:cstheme="minorBidi"/>
          <w:sz w:val="22"/>
          <w:szCs w:val="22"/>
          <w:lang w:val="en-US" w:eastAsia="zh-TW"/>
        </w:rPr>
        <w:t xml:space="preserve"> </w:t>
      </w:r>
      <w:r w:rsidRPr="000A0C20">
        <w:rPr>
          <w:rFonts w:asciiTheme="minorHAnsi" w:eastAsiaTheme="minorEastAsia" w:hAnsiTheme="minorHAnsi" w:cstheme="minorBidi"/>
          <w:sz w:val="22"/>
          <w:szCs w:val="22"/>
          <w:lang w:val="en-US" w:eastAsia="zh-TW"/>
        </w:rPr>
        <w:t>R4-180</w:t>
      </w:r>
      <w:r w:rsidR="004337EE">
        <w:rPr>
          <w:rFonts w:asciiTheme="minorHAnsi" w:eastAsiaTheme="minorEastAsia" w:hAnsiTheme="minorHAnsi" w:cstheme="minorBidi"/>
          <w:sz w:val="22"/>
          <w:szCs w:val="22"/>
          <w:lang w:val="en-US" w:eastAsia="zh-TW"/>
        </w:rPr>
        <w:t>3564</w:t>
      </w:r>
      <w:r>
        <w:rPr>
          <w:rFonts w:asciiTheme="minorHAnsi" w:eastAsiaTheme="minorEastAsia" w:hAnsiTheme="minorHAnsi" w:cstheme="minorBidi"/>
          <w:sz w:val="22"/>
          <w:szCs w:val="22"/>
          <w:lang w:val="en-US" w:eastAsia="zh-TW"/>
        </w:rPr>
        <w:t>, “</w:t>
      </w:r>
      <w:r w:rsidR="004337EE">
        <w:rPr>
          <w:rFonts w:asciiTheme="minorHAnsi" w:eastAsiaTheme="minorEastAsia" w:hAnsiTheme="minorHAnsi" w:cstheme="minorBidi"/>
          <w:sz w:val="22"/>
          <w:szCs w:val="22"/>
          <w:lang w:val="en-US" w:eastAsia="zh-TW"/>
        </w:rPr>
        <w:t>Updated UE feature list</w:t>
      </w:r>
      <w:r>
        <w:rPr>
          <w:rFonts w:asciiTheme="minorHAnsi" w:eastAsiaTheme="minorEastAsia" w:hAnsiTheme="minorHAnsi" w:cstheme="minorBidi"/>
          <w:sz w:val="22"/>
          <w:szCs w:val="22"/>
          <w:lang w:val="en-US" w:eastAsia="zh-TW"/>
        </w:rPr>
        <w:t>”</w:t>
      </w:r>
    </w:p>
    <w:sectPr w:rsidR="005C1753" w:rsidRPr="008D70C6"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1484C" w14:textId="77777777" w:rsidR="002030B5" w:rsidRDefault="002030B5" w:rsidP="008B46F2">
      <w:pPr>
        <w:spacing w:after="0" w:line="240" w:lineRule="auto"/>
      </w:pPr>
      <w:r>
        <w:separator/>
      </w:r>
    </w:p>
  </w:endnote>
  <w:endnote w:type="continuationSeparator" w:id="0">
    <w:p w14:paraId="1DB11AA5" w14:textId="77777777" w:rsidR="002030B5" w:rsidRDefault="002030B5"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crosoft JhengHei UI">
    <w:panose1 w:val="020B0604030504040204"/>
    <w:charset w:val="88"/>
    <w:family w:val="swiss"/>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3FB5E" w14:textId="77777777" w:rsidR="002030B5" w:rsidRDefault="002030B5" w:rsidP="008B46F2">
      <w:pPr>
        <w:spacing w:after="0" w:line="240" w:lineRule="auto"/>
      </w:pPr>
      <w:r>
        <w:separator/>
      </w:r>
    </w:p>
  </w:footnote>
  <w:footnote w:type="continuationSeparator" w:id="0">
    <w:p w14:paraId="0201B129" w14:textId="77777777" w:rsidR="002030B5" w:rsidRDefault="002030B5"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350F"/>
    <w:multiLevelType w:val="hybridMultilevel"/>
    <w:tmpl w:val="A268FD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8F5DF5"/>
    <w:multiLevelType w:val="hybridMultilevel"/>
    <w:tmpl w:val="A372D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25E51"/>
    <w:multiLevelType w:val="hybridMultilevel"/>
    <w:tmpl w:val="2BE0839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CA7A99"/>
    <w:multiLevelType w:val="hybridMultilevel"/>
    <w:tmpl w:val="8CE0E896"/>
    <w:lvl w:ilvl="0" w:tplc="7BB8D3D8">
      <w:numFmt w:val="bullet"/>
      <w:lvlText w:val="-"/>
      <w:lvlJc w:val="left"/>
      <w:pPr>
        <w:ind w:left="720" w:hanging="360"/>
      </w:pPr>
      <w:rPr>
        <w:rFonts w:ascii="Calibri" w:eastAsia="新細明體"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E52F3"/>
    <w:multiLevelType w:val="hybridMultilevel"/>
    <w:tmpl w:val="2E06E5A2"/>
    <w:lvl w:ilvl="0" w:tplc="4A2CDAB6">
      <w:start w:val="2"/>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CF549C1"/>
    <w:multiLevelType w:val="hybridMultilevel"/>
    <w:tmpl w:val="B9CC45F4"/>
    <w:lvl w:ilvl="0" w:tplc="A91E4FF4">
      <w:start w:val="2"/>
      <w:numFmt w:val="bullet"/>
      <w:lvlText w:val="•"/>
      <w:lvlJc w:val="left"/>
      <w:pPr>
        <w:ind w:left="1080" w:hanging="360"/>
      </w:pPr>
      <w:rPr>
        <w:rFonts w:ascii="SimSun" w:eastAsia="SimSun" w:hAnsi="SimSun"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D043D7"/>
    <w:multiLevelType w:val="hybridMultilevel"/>
    <w:tmpl w:val="313C4F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E7185"/>
    <w:multiLevelType w:val="hybridMultilevel"/>
    <w:tmpl w:val="83A61560"/>
    <w:lvl w:ilvl="0" w:tplc="04090003">
      <w:start w:val="1"/>
      <w:numFmt w:val="bullet"/>
      <w:lvlText w:val="o"/>
      <w:lvlJc w:val="left"/>
      <w:pPr>
        <w:ind w:left="762" w:hanging="360"/>
      </w:pPr>
      <w:rPr>
        <w:rFonts w:ascii="Courier New" w:hAnsi="Courier New" w:cs="Courier New"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8" w15:restartNumberingAfterBreak="0">
    <w:nsid w:val="11F942A8"/>
    <w:multiLevelType w:val="hybridMultilevel"/>
    <w:tmpl w:val="BE4CD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7F32E4"/>
    <w:multiLevelType w:val="hybridMultilevel"/>
    <w:tmpl w:val="479227A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3A0B1E"/>
    <w:multiLevelType w:val="hybridMultilevel"/>
    <w:tmpl w:val="493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5824737"/>
    <w:multiLevelType w:val="hybridMultilevel"/>
    <w:tmpl w:val="A6989BF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5F26BC"/>
    <w:multiLevelType w:val="hybridMultilevel"/>
    <w:tmpl w:val="5F166B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C75FF8"/>
    <w:multiLevelType w:val="hybridMultilevel"/>
    <w:tmpl w:val="9618B5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0A47990"/>
    <w:multiLevelType w:val="hybridMultilevel"/>
    <w:tmpl w:val="AFDE6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E63010"/>
    <w:multiLevelType w:val="hybridMultilevel"/>
    <w:tmpl w:val="D32E3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DA3C48"/>
    <w:multiLevelType w:val="hybridMultilevel"/>
    <w:tmpl w:val="E48C4E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5B726A1"/>
    <w:multiLevelType w:val="hybridMultilevel"/>
    <w:tmpl w:val="4920C4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A3611FF"/>
    <w:multiLevelType w:val="hybridMultilevel"/>
    <w:tmpl w:val="42AE62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A64520"/>
    <w:multiLevelType w:val="hybridMultilevel"/>
    <w:tmpl w:val="71C0707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FB1648"/>
    <w:multiLevelType w:val="hybridMultilevel"/>
    <w:tmpl w:val="F84C1AF8"/>
    <w:lvl w:ilvl="0" w:tplc="200E0DFC">
      <w:start w:val="1"/>
      <w:numFmt w:val="bullet"/>
      <w:lvlText w:val="•"/>
      <w:lvlJc w:val="left"/>
      <w:pPr>
        <w:tabs>
          <w:tab w:val="num" w:pos="720"/>
        </w:tabs>
        <w:ind w:left="720" w:hanging="360"/>
      </w:pPr>
      <w:rPr>
        <w:rFonts w:ascii="Arial" w:hAnsi="Arial" w:hint="default"/>
      </w:rPr>
    </w:lvl>
    <w:lvl w:ilvl="1" w:tplc="E490FDA4">
      <w:start w:val="51"/>
      <w:numFmt w:val="bullet"/>
      <w:lvlText w:val="•"/>
      <w:lvlJc w:val="left"/>
      <w:pPr>
        <w:tabs>
          <w:tab w:val="num" w:pos="1440"/>
        </w:tabs>
        <w:ind w:left="1440" w:hanging="360"/>
      </w:pPr>
      <w:rPr>
        <w:rFonts w:ascii="Arial" w:hAnsi="Arial" w:hint="default"/>
      </w:rPr>
    </w:lvl>
    <w:lvl w:ilvl="2" w:tplc="3F922CE4" w:tentative="1">
      <w:start w:val="1"/>
      <w:numFmt w:val="bullet"/>
      <w:lvlText w:val="•"/>
      <w:lvlJc w:val="left"/>
      <w:pPr>
        <w:tabs>
          <w:tab w:val="num" w:pos="2160"/>
        </w:tabs>
        <w:ind w:left="2160" w:hanging="360"/>
      </w:pPr>
      <w:rPr>
        <w:rFonts w:ascii="Arial" w:hAnsi="Arial" w:hint="default"/>
      </w:rPr>
    </w:lvl>
    <w:lvl w:ilvl="3" w:tplc="79761F6E" w:tentative="1">
      <w:start w:val="1"/>
      <w:numFmt w:val="bullet"/>
      <w:lvlText w:val="•"/>
      <w:lvlJc w:val="left"/>
      <w:pPr>
        <w:tabs>
          <w:tab w:val="num" w:pos="2880"/>
        </w:tabs>
        <w:ind w:left="2880" w:hanging="360"/>
      </w:pPr>
      <w:rPr>
        <w:rFonts w:ascii="Arial" w:hAnsi="Arial" w:hint="default"/>
      </w:rPr>
    </w:lvl>
    <w:lvl w:ilvl="4" w:tplc="0F2C8A0C" w:tentative="1">
      <w:start w:val="1"/>
      <w:numFmt w:val="bullet"/>
      <w:lvlText w:val="•"/>
      <w:lvlJc w:val="left"/>
      <w:pPr>
        <w:tabs>
          <w:tab w:val="num" w:pos="3600"/>
        </w:tabs>
        <w:ind w:left="3600" w:hanging="360"/>
      </w:pPr>
      <w:rPr>
        <w:rFonts w:ascii="Arial" w:hAnsi="Arial" w:hint="default"/>
      </w:rPr>
    </w:lvl>
    <w:lvl w:ilvl="5" w:tplc="768EB76C" w:tentative="1">
      <w:start w:val="1"/>
      <w:numFmt w:val="bullet"/>
      <w:lvlText w:val="•"/>
      <w:lvlJc w:val="left"/>
      <w:pPr>
        <w:tabs>
          <w:tab w:val="num" w:pos="4320"/>
        </w:tabs>
        <w:ind w:left="4320" w:hanging="360"/>
      </w:pPr>
      <w:rPr>
        <w:rFonts w:ascii="Arial" w:hAnsi="Arial" w:hint="default"/>
      </w:rPr>
    </w:lvl>
    <w:lvl w:ilvl="6" w:tplc="2690C9F8" w:tentative="1">
      <w:start w:val="1"/>
      <w:numFmt w:val="bullet"/>
      <w:lvlText w:val="•"/>
      <w:lvlJc w:val="left"/>
      <w:pPr>
        <w:tabs>
          <w:tab w:val="num" w:pos="5040"/>
        </w:tabs>
        <w:ind w:left="5040" w:hanging="360"/>
      </w:pPr>
      <w:rPr>
        <w:rFonts w:ascii="Arial" w:hAnsi="Arial" w:hint="default"/>
      </w:rPr>
    </w:lvl>
    <w:lvl w:ilvl="7" w:tplc="D0AE35E0" w:tentative="1">
      <w:start w:val="1"/>
      <w:numFmt w:val="bullet"/>
      <w:lvlText w:val="•"/>
      <w:lvlJc w:val="left"/>
      <w:pPr>
        <w:tabs>
          <w:tab w:val="num" w:pos="5760"/>
        </w:tabs>
        <w:ind w:left="5760" w:hanging="360"/>
      </w:pPr>
      <w:rPr>
        <w:rFonts w:ascii="Arial" w:hAnsi="Arial" w:hint="default"/>
      </w:rPr>
    </w:lvl>
    <w:lvl w:ilvl="8" w:tplc="4E70B0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CE48EC"/>
    <w:multiLevelType w:val="multilevel"/>
    <w:tmpl w:val="AB403D54"/>
    <w:lvl w:ilvl="0">
      <w:start w:val="1"/>
      <w:numFmt w:val="bullet"/>
      <w:lvlText w:val=""/>
      <w:lvlJc w:val="left"/>
      <w:pPr>
        <w:ind w:left="170" w:hanging="170"/>
      </w:pPr>
      <w:rPr>
        <w:rFonts w:ascii="Symbol" w:hAnsi="Symbol" w:hint="default"/>
      </w:rPr>
    </w:lvl>
    <w:lvl w:ilvl="1">
      <w:start w:val="1"/>
      <w:numFmt w:val="bullet"/>
      <w:lvlText w:val="o"/>
      <w:lvlJc w:val="left"/>
      <w:pPr>
        <w:ind w:left="454" w:firstLine="0"/>
      </w:pPr>
      <w:rPr>
        <w:rFonts w:ascii="Courier New" w:hAnsi="Courier New" w:hint="default"/>
      </w:rPr>
    </w:lvl>
    <w:lvl w:ilvl="2">
      <w:start w:val="1"/>
      <w:numFmt w:val="bullet"/>
      <w:lvlText w:val=""/>
      <w:lvlJc w:val="left"/>
      <w:pPr>
        <w:ind w:left="964" w:hanging="284"/>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6010CE5"/>
    <w:multiLevelType w:val="hybridMultilevel"/>
    <w:tmpl w:val="9A6C9A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6080817"/>
    <w:multiLevelType w:val="hybridMultilevel"/>
    <w:tmpl w:val="2E3E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305999"/>
    <w:multiLevelType w:val="hybridMultilevel"/>
    <w:tmpl w:val="197ACF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B666E27"/>
    <w:multiLevelType w:val="hybridMultilevel"/>
    <w:tmpl w:val="57C6E2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301DA"/>
    <w:multiLevelType w:val="hybridMultilevel"/>
    <w:tmpl w:val="72C670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2EC28F3"/>
    <w:multiLevelType w:val="hybridMultilevel"/>
    <w:tmpl w:val="4B4C1B4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FE6729F"/>
    <w:multiLevelType w:val="hybridMultilevel"/>
    <w:tmpl w:val="0326070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E83E36"/>
    <w:multiLevelType w:val="hybridMultilevel"/>
    <w:tmpl w:val="D9481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59575CD"/>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A9020C"/>
    <w:multiLevelType w:val="multilevel"/>
    <w:tmpl w:val="9A6C9A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B1727F"/>
    <w:multiLevelType w:val="hybridMultilevel"/>
    <w:tmpl w:val="87042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BE7569"/>
    <w:multiLevelType w:val="hybridMultilevel"/>
    <w:tmpl w:val="E9AE708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3D475EC"/>
    <w:multiLevelType w:val="hybridMultilevel"/>
    <w:tmpl w:val="4E300F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4D03BF4"/>
    <w:multiLevelType w:val="hybridMultilevel"/>
    <w:tmpl w:val="60F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0C45BC"/>
    <w:multiLevelType w:val="hybridMultilevel"/>
    <w:tmpl w:val="EDC405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1066E8"/>
    <w:multiLevelType w:val="hybridMultilevel"/>
    <w:tmpl w:val="D3526A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60347F7"/>
    <w:multiLevelType w:val="hybridMultilevel"/>
    <w:tmpl w:val="5C84BA74"/>
    <w:lvl w:ilvl="0" w:tplc="497ED81C">
      <w:start w:val="2"/>
      <w:numFmt w:val="bullet"/>
      <w:lvlText w:val=""/>
      <w:lvlJc w:val="left"/>
      <w:pPr>
        <w:ind w:left="1080" w:hanging="360"/>
      </w:pPr>
      <w:rPr>
        <w:rFonts w:ascii="Symbol" w:eastAsiaTheme="minorEastAsia" w:hAnsi="Symbol"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B75C82"/>
    <w:multiLevelType w:val="hybridMultilevel"/>
    <w:tmpl w:val="CD2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1C30F36"/>
    <w:multiLevelType w:val="hybridMultilevel"/>
    <w:tmpl w:val="8348E8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031D12"/>
    <w:multiLevelType w:val="hybridMultilevel"/>
    <w:tmpl w:val="CAE428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8400BBC"/>
    <w:multiLevelType w:val="hybridMultilevel"/>
    <w:tmpl w:val="AA0CF8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6223C2"/>
    <w:multiLevelType w:val="hybridMultilevel"/>
    <w:tmpl w:val="1520E4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A056D20"/>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38"/>
  </w:num>
  <w:num w:numId="3">
    <w:abstractNumId w:val="28"/>
  </w:num>
  <w:num w:numId="4">
    <w:abstractNumId w:val="11"/>
  </w:num>
  <w:num w:numId="5">
    <w:abstractNumId w:val="41"/>
  </w:num>
  <w:num w:numId="6">
    <w:abstractNumId w:val="27"/>
  </w:num>
  <w:num w:numId="7">
    <w:abstractNumId w:val="33"/>
  </w:num>
  <w:num w:numId="8">
    <w:abstractNumId w:val="9"/>
  </w:num>
  <w:num w:numId="9">
    <w:abstractNumId w:val="19"/>
  </w:num>
  <w:num w:numId="10">
    <w:abstractNumId w:val="15"/>
  </w:num>
  <w:num w:numId="11">
    <w:abstractNumId w:val="13"/>
  </w:num>
  <w:num w:numId="12">
    <w:abstractNumId w:val="2"/>
  </w:num>
  <w:num w:numId="13">
    <w:abstractNumId w:val="10"/>
  </w:num>
  <w:num w:numId="14">
    <w:abstractNumId w:val="0"/>
  </w:num>
  <w:num w:numId="15">
    <w:abstractNumId w:val="18"/>
  </w:num>
  <w:num w:numId="16">
    <w:abstractNumId w:val="43"/>
  </w:num>
  <w:num w:numId="17">
    <w:abstractNumId w:val="26"/>
  </w:num>
  <w:num w:numId="18">
    <w:abstractNumId w:val="29"/>
  </w:num>
  <w:num w:numId="19">
    <w:abstractNumId w:val="17"/>
  </w:num>
  <w:num w:numId="20">
    <w:abstractNumId w:val="12"/>
  </w:num>
  <w:num w:numId="21">
    <w:abstractNumId w:val="36"/>
  </w:num>
  <w:num w:numId="22">
    <w:abstractNumId w:val="25"/>
  </w:num>
  <w:num w:numId="23">
    <w:abstractNumId w:val="44"/>
  </w:num>
  <w:num w:numId="24">
    <w:abstractNumId w:val="6"/>
  </w:num>
  <w:num w:numId="25">
    <w:abstractNumId w:val="35"/>
  </w:num>
  <w:num w:numId="26">
    <w:abstractNumId w:val="32"/>
  </w:num>
  <w:num w:numId="27">
    <w:abstractNumId w:val="16"/>
  </w:num>
  <w:num w:numId="28">
    <w:abstractNumId w:val="5"/>
  </w:num>
  <w:num w:numId="29">
    <w:abstractNumId w:val="22"/>
  </w:num>
  <w:num w:numId="30">
    <w:abstractNumId w:val="37"/>
  </w:num>
  <w:num w:numId="31">
    <w:abstractNumId w:val="31"/>
  </w:num>
  <w:num w:numId="32">
    <w:abstractNumId w:val="21"/>
  </w:num>
  <w:num w:numId="33">
    <w:abstractNumId w:val="42"/>
  </w:num>
  <w:num w:numId="34">
    <w:abstractNumId w:val="7"/>
  </w:num>
  <w:num w:numId="35">
    <w:abstractNumId w:val="46"/>
  </w:num>
  <w:num w:numId="36">
    <w:abstractNumId w:val="30"/>
  </w:num>
  <w:num w:numId="37">
    <w:abstractNumId w:val="20"/>
  </w:num>
  <w:num w:numId="38">
    <w:abstractNumId w:val="23"/>
  </w:num>
  <w:num w:numId="39">
    <w:abstractNumId w:val="8"/>
  </w:num>
  <w:num w:numId="40">
    <w:abstractNumId w:val="14"/>
  </w:num>
  <w:num w:numId="41">
    <w:abstractNumId w:val="1"/>
  </w:num>
  <w:num w:numId="42">
    <w:abstractNumId w:val="34"/>
  </w:num>
  <w:num w:numId="43">
    <w:abstractNumId w:val="45"/>
  </w:num>
  <w:num w:numId="44">
    <w:abstractNumId w:val="24"/>
  </w:num>
  <w:num w:numId="45">
    <w:abstractNumId w:val="4"/>
  </w:num>
  <w:num w:numId="46">
    <w:abstractNumId w:val="40"/>
  </w:num>
  <w:num w:numId="47">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70"/>
    <w:rsid w:val="00005F93"/>
    <w:rsid w:val="000124A6"/>
    <w:rsid w:val="000200EB"/>
    <w:rsid w:val="00025E58"/>
    <w:rsid w:val="00040AE5"/>
    <w:rsid w:val="00045178"/>
    <w:rsid w:val="0004581B"/>
    <w:rsid w:val="00052C73"/>
    <w:rsid w:val="00053C66"/>
    <w:rsid w:val="00055B1C"/>
    <w:rsid w:val="000627DD"/>
    <w:rsid w:val="000629FD"/>
    <w:rsid w:val="00065A8B"/>
    <w:rsid w:val="00065C5F"/>
    <w:rsid w:val="00067FE4"/>
    <w:rsid w:val="0007461A"/>
    <w:rsid w:val="00074ACB"/>
    <w:rsid w:val="000752BB"/>
    <w:rsid w:val="00075BFA"/>
    <w:rsid w:val="00076F85"/>
    <w:rsid w:val="00085372"/>
    <w:rsid w:val="00091660"/>
    <w:rsid w:val="0009445D"/>
    <w:rsid w:val="000946FA"/>
    <w:rsid w:val="00094D42"/>
    <w:rsid w:val="000952FD"/>
    <w:rsid w:val="000A0C20"/>
    <w:rsid w:val="000B1D83"/>
    <w:rsid w:val="000B5696"/>
    <w:rsid w:val="000B6B00"/>
    <w:rsid w:val="000C442E"/>
    <w:rsid w:val="000C4D5B"/>
    <w:rsid w:val="000C534E"/>
    <w:rsid w:val="000D00A8"/>
    <w:rsid w:val="000D15E8"/>
    <w:rsid w:val="000D1B1F"/>
    <w:rsid w:val="000D5A6C"/>
    <w:rsid w:val="000D5DFC"/>
    <w:rsid w:val="000D72AD"/>
    <w:rsid w:val="000E004B"/>
    <w:rsid w:val="000E035C"/>
    <w:rsid w:val="000E1CAE"/>
    <w:rsid w:val="000E2B7A"/>
    <w:rsid w:val="000E54F1"/>
    <w:rsid w:val="000E5759"/>
    <w:rsid w:val="000E6DD2"/>
    <w:rsid w:val="000F364D"/>
    <w:rsid w:val="000F3DE0"/>
    <w:rsid w:val="000F3FCB"/>
    <w:rsid w:val="000F4C51"/>
    <w:rsid w:val="001009C1"/>
    <w:rsid w:val="001017DF"/>
    <w:rsid w:val="0010295D"/>
    <w:rsid w:val="00104301"/>
    <w:rsid w:val="001045F6"/>
    <w:rsid w:val="001053AF"/>
    <w:rsid w:val="001057E4"/>
    <w:rsid w:val="00106492"/>
    <w:rsid w:val="001102B8"/>
    <w:rsid w:val="0011370F"/>
    <w:rsid w:val="00117DFB"/>
    <w:rsid w:val="00122112"/>
    <w:rsid w:val="00122163"/>
    <w:rsid w:val="00122F51"/>
    <w:rsid w:val="001249B3"/>
    <w:rsid w:val="00124F09"/>
    <w:rsid w:val="00124FD2"/>
    <w:rsid w:val="00142A74"/>
    <w:rsid w:val="00143177"/>
    <w:rsid w:val="00143658"/>
    <w:rsid w:val="00150268"/>
    <w:rsid w:val="001507E0"/>
    <w:rsid w:val="00155773"/>
    <w:rsid w:val="00155941"/>
    <w:rsid w:val="00156F8D"/>
    <w:rsid w:val="00162F85"/>
    <w:rsid w:val="00164332"/>
    <w:rsid w:val="00172A0F"/>
    <w:rsid w:val="00173C94"/>
    <w:rsid w:val="00173F16"/>
    <w:rsid w:val="001740B4"/>
    <w:rsid w:val="00174345"/>
    <w:rsid w:val="00174F24"/>
    <w:rsid w:val="00175A7A"/>
    <w:rsid w:val="0018004A"/>
    <w:rsid w:val="001806FA"/>
    <w:rsid w:val="00183ED8"/>
    <w:rsid w:val="001862A6"/>
    <w:rsid w:val="00186A61"/>
    <w:rsid w:val="00187218"/>
    <w:rsid w:val="00190C6C"/>
    <w:rsid w:val="001910FC"/>
    <w:rsid w:val="001916A4"/>
    <w:rsid w:val="0019455F"/>
    <w:rsid w:val="00194D12"/>
    <w:rsid w:val="00195D5F"/>
    <w:rsid w:val="00196DBD"/>
    <w:rsid w:val="001A0A87"/>
    <w:rsid w:val="001A4683"/>
    <w:rsid w:val="001A62A5"/>
    <w:rsid w:val="001B363A"/>
    <w:rsid w:val="001B579F"/>
    <w:rsid w:val="001C41AB"/>
    <w:rsid w:val="001C4BF2"/>
    <w:rsid w:val="001D257C"/>
    <w:rsid w:val="001E160E"/>
    <w:rsid w:val="001E5079"/>
    <w:rsid w:val="001E6A15"/>
    <w:rsid w:val="001E6B2B"/>
    <w:rsid w:val="001F2C71"/>
    <w:rsid w:val="001F3963"/>
    <w:rsid w:val="001F5CF3"/>
    <w:rsid w:val="001F70A4"/>
    <w:rsid w:val="002030B5"/>
    <w:rsid w:val="00206812"/>
    <w:rsid w:val="00214420"/>
    <w:rsid w:val="00214F29"/>
    <w:rsid w:val="00214FB5"/>
    <w:rsid w:val="00216288"/>
    <w:rsid w:val="00221265"/>
    <w:rsid w:val="00221717"/>
    <w:rsid w:val="00222B9C"/>
    <w:rsid w:val="00227CB6"/>
    <w:rsid w:val="00236704"/>
    <w:rsid w:val="00236A9E"/>
    <w:rsid w:val="00241B54"/>
    <w:rsid w:val="00241F11"/>
    <w:rsid w:val="00244433"/>
    <w:rsid w:val="00245616"/>
    <w:rsid w:val="00246BB9"/>
    <w:rsid w:val="00253F3D"/>
    <w:rsid w:val="00254DCC"/>
    <w:rsid w:val="00262C8C"/>
    <w:rsid w:val="002658F0"/>
    <w:rsid w:val="002659CF"/>
    <w:rsid w:val="00266B95"/>
    <w:rsid w:val="00266D5F"/>
    <w:rsid w:val="00271102"/>
    <w:rsid w:val="002720F6"/>
    <w:rsid w:val="00272668"/>
    <w:rsid w:val="00282F42"/>
    <w:rsid w:val="00290EB5"/>
    <w:rsid w:val="002942C0"/>
    <w:rsid w:val="00295E51"/>
    <w:rsid w:val="00295E8D"/>
    <w:rsid w:val="002A202E"/>
    <w:rsid w:val="002A392D"/>
    <w:rsid w:val="002A555A"/>
    <w:rsid w:val="002B072E"/>
    <w:rsid w:val="002B0E88"/>
    <w:rsid w:val="002B2097"/>
    <w:rsid w:val="002B521C"/>
    <w:rsid w:val="002C1909"/>
    <w:rsid w:val="002C1C95"/>
    <w:rsid w:val="002C51B9"/>
    <w:rsid w:val="002C71EF"/>
    <w:rsid w:val="002D1433"/>
    <w:rsid w:val="002D2689"/>
    <w:rsid w:val="002D6067"/>
    <w:rsid w:val="002E221A"/>
    <w:rsid w:val="002E6354"/>
    <w:rsid w:val="002E73B3"/>
    <w:rsid w:val="002E7C2F"/>
    <w:rsid w:val="002F01F6"/>
    <w:rsid w:val="002F275D"/>
    <w:rsid w:val="002F2F83"/>
    <w:rsid w:val="00300462"/>
    <w:rsid w:val="00300C80"/>
    <w:rsid w:val="00305ED6"/>
    <w:rsid w:val="0030640A"/>
    <w:rsid w:val="00307A6F"/>
    <w:rsid w:val="0031309E"/>
    <w:rsid w:val="00316805"/>
    <w:rsid w:val="00317CB3"/>
    <w:rsid w:val="00324B1E"/>
    <w:rsid w:val="00331B27"/>
    <w:rsid w:val="00332B16"/>
    <w:rsid w:val="00337EC4"/>
    <w:rsid w:val="00341C80"/>
    <w:rsid w:val="00342262"/>
    <w:rsid w:val="0034272F"/>
    <w:rsid w:val="00355C00"/>
    <w:rsid w:val="003572BA"/>
    <w:rsid w:val="00361114"/>
    <w:rsid w:val="003621EF"/>
    <w:rsid w:val="00370C57"/>
    <w:rsid w:val="003727B8"/>
    <w:rsid w:val="003732D8"/>
    <w:rsid w:val="003765A0"/>
    <w:rsid w:val="003779CD"/>
    <w:rsid w:val="00384A15"/>
    <w:rsid w:val="00390F86"/>
    <w:rsid w:val="00394E39"/>
    <w:rsid w:val="00395315"/>
    <w:rsid w:val="003A0395"/>
    <w:rsid w:val="003A4FB1"/>
    <w:rsid w:val="003A6A7C"/>
    <w:rsid w:val="003B05A8"/>
    <w:rsid w:val="003B1631"/>
    <w:rsid w:val="003B1704"/>
    <w:rsid w:val="003B4B0F"/>
    <w:rsid w:val="003C5132"/>
    <w:rsid w:val="003C7400"/>
    <w:rsid w:val="003D0253"/>
    <w:rsid w:val="003E3889"/>
    <w:rsid w:val="003E39ED"/>
    <w:rsid w:val="003F0E9A"/>
    <w:rsid w:val="003F4C52"/>
    <w:rsid w:val="003F69F7"/>
    <w:rsid w:val="00403ED0"/>
    <w:rsid w:val="00405966"/>
    <w:rsid w:val="004149C3"/>
    <w:rsid w:val="00416D77"/>
    <w:rsid w:val="00421D97"/>
    <w:rsid w:val="00421F6B"/>
    <w:rsid w:val="0042222E"/>
    <w:rsid w:val="00422B53"/>
    <w:rsid w:val="00426796"/>
    <w:rsid w:val="00427FD4"/>
    <w:rsid w:val="0043034F"/>
    <w:rsid w:val="004337EE"/>
    <w:rsid w:val="00440799"/>
    <w:rsid w:val="00441291"/>
    <w:rsid w:val="0044171D"/>
    <w:rsid w:val="004426A6"/>
    <w:rsid w:val="00447C8A"/>
    <w:rsid w:val="00455FAE"/>
    <w:rsid w:val="00455FEC"/>
    <w:rsid w:val="0046132A"/>
    <w:rsid w:val="004640BA"/>
    <w:rsid w:val="00465DF6"/>
    <w:rsid w:val="00466D7F"/>
    <w:rsid w:val="00467337"/>
    <w:rsid w:val="00470794"/>
    <w:rsid w:val="00473805"/>
    <w:rsid w:val="00475200"/>
    <w:rsid w:val="00477D9F"/>
    <w:rsid w:val="00480E4C"/>
    <w:rsid w:val="004847BD"/>
    <w:rsid w:val="00487F0A"/>
    <w:rsid w:val="00494E74"/>
    <w:rsid w:val="00495B09"/>
    <w:rsid w:val="004976C5"/>
    <w:rsid w:val="004A5BF0"/>
    <w:rsid w:val="004A601B"/>
    <w:rsid w:val="004B2BFE"/>
    <w:rsid w:val="004C0E5F"/>
    <w:rsid w:val="004C1E3A"/>
    <w:rsid w:val="004C2AA5"/>
    <w:rsid w:val="004C64BD"/>
    <w:rsid w:val="004D04F9"/>
    <w:rsid w:val="004D05EF"/>
    <w:rsid w:val="004E09E4"/>
    <w:rsid w:val="004E3927"/>
    <w:rsid w:val="004E4887"/>
    <w:rsid w:val="004E4955"/>
    <w:rsid w:val="004F3668"/>
    <w:rsid w:val="004F77A6"/>
    <w:rsid w:val="00502D59"/>
    <w:rsid w:val="00503AD1"/>
    <w:rsid w:val="00505955"/>
    <w:rsid w:val="005059EE"/>
    <w:rsid w:val="005102CA"/>
    <w:rsid w:val="005109F5"/>
    <w:rsid w:val="0051325B"/>
    <w:rsid w:val="00515004"/>
    <w:rsid w:val="0051555B"/>
    <w:rsid w:val="00516C88"/>
    <w:rsid w:val="00517915"/>
    <w:rsid w:val="00520902"/>
    <w:rsid w:val="0052200C"/>
    <w:rsid w:val="005226D7"/>
    <w:rsid w:val="005266D0"/>
    <w:rsid w:val="005340C0"/>
    <w:rsid w:val="00535129"/>
    <w:rsid w:val="00537F65"/>
    <w:rsid w:val="005424C8"/>
    <w:rsid w:val="0054550E"/>
    <w:rsid w:val="00547527"/>
    <w:rsid w:val="005515B0"/>
    <w:rsid w:val="005568C5"/>
    <w:rsid w:val="00560D26"/>
    <w:rsid w:val="005722FF"/>
    <w:rsid w:val="0057659A"/>
    <w:rsid w:val="005806E2"/>
    <w:rsid w:val="00583831"/>
    <w:rsid w:val="005865DF"/>
    <w:rsid w:val="00587CCC"/>
    <w:rsid w:val="00590862"/>
    <w:rsid w:val="00590D9F"/>
    <w:rsid w:val="005917E4"/>
    <w:rsid w:val="00592813"/>
    <w:rsid w:val="00593B3B"/>
    <w:rsid w:val="005A0D71"/>
    <w:rsid w:val="005A15EA"/>
    <w:rsid w:val="005B1696"/>
    <w:rsid w:val="005B20E8"/>
    <w:rsid w:val="005B4374"/>
    <w:rsid w:val="005B57B2"/>
    <w:rsid w:val="005C1753"/>
    <w:rsid w:val="005C356C"/>
    <w:rsid w:val="005D2CD0"/>
    <w:rsid w:val="005D5851"/>
    <w:rsid w:val="005E232D"/>
    <w:rsid w:val="005E25B8"/>
    <w:rsid w:val="005E41E1"/>
    <w:rsid w:val="005F0967"/>
    <w:rsid w:val="0060088C"/>
    <w:rsid w:val="00600F57"/>
    <w:rsid w:val="00602705"/>
    <w:rsid w:val="006032C0"/>
    <w:rsid w:val="006058DA"/>
    <w:rsid w:val="00611FCD"/>
    <w:rsid w:val="00614A7D"/>
    <w:rsid w:val="00615773"/>
    <w:rsid w:val="00616A16"/>
    <w:rsid w:val="00621020"/>
    <w:rsid w:val="00622539"/>
    <w:rsid w:val="00627F05"/>
    <w:rsid w:val="00630C35"/>
    <w:rsid w:val="00631939"/>
    <w:rsid w:val="00632803"/>
    <w:rsid w:val="006354C0"/>
    <w:rsid w:val="006355E4"/>
    <w:rsid w:val="006356AB"/>
    <w:rsid w:val="0063696C"/>
    <w:rsid w:val="00642708"/>
    <w:rsid w:val="00644D7A"/>
    <w:rsid w:val="006476E5"/>
    <w:rsid w:val="006502BE"/>
    <w:rsid w:val="006534DB"/>
    <w:rsid w:val="00655D3D"/>
    <w:rsid w:val="0066047D"/>
    <w:rsid w:val="00660484"/>
    <w:rsid w:val="006720CC"/>
    <w:rsid w:val="0067409D"/>
    <w:rsid w:val="00685F43"/>
    <w:rsid w:val="0069259D"/>
    <w:rsid w:val="00693CDA"/>
    <w:rsid w:val="006A33D4"/>
    <w:rsid w:val="006B047F"/>
    <w:rsid w:val="006B12DA"/>
    <w:rsid w:val="006B23B0"/>
    <w:rsid w:val="006B7556"/>
    <w:rsid w:val="006B76E4"/>
    <w:rsid w:val="006C02D2"/>
    <w:rsid w:val="006E0653"/>
    <w:rsid w:val="006E475D"/>
    <w:rsid w:val="006E4A33"/>
    <w:rsid w:val="006E7BFF"/>
    <w:rsid w:val="006F0BC7"/>
    <w:rsid w:val="006F4F34"/>
    <w:rsid w:val="006F5FDD"/>
    <w:rsid w:val="006F6D39"/>
    <w:rsid w:val="007022D6"/>
    <w:rsid w:val="0070301F"/>
    <w:rsid w:val="007052A8"/>
    <w:rsid w:val="0070796B"/>
    <w:rsid w:val="00711365"/>
    <w:rsid w:val="00711956"/>
    <w:rsid w:val="007149D7"/>
    <w:rsid w:val="007166FE"/>
    <w:rsid w:val="0072415C"/>
    <w:rsid w:val="00724351"/>
    <w:rsid w:val="00732B63"/>
    <w:rsid w:val="00732D0E"/>
    <w:rsid w:val="007339C2"/>
    <w:rsid w:val="00733D4F"/>
    <w:rsid w:val="00740C3A"/>
    <w:rsid w:val="00743693"/>
    <w:rsid w:val="0074573E"/>
    <w:rsid w:val="0075034F"/>
    <w:rsid w:val="00756C43"/>
    <w:rsid w:val="007626A3"/>
    <w:rsid w:val="007633BC"/>
    <w:rsid w:val="00764B68"/>
    <w:rsid w:val="00766477"/>
    <w:rsid w:val="00772878"/>
    <w:rsid w:val="00781BA0"/>
    <w:rsid w:val="00791BDC"/>
    <w:rsid w:val="00797684"/>
    <w:rsid w:val="00797A38"/>
    <w:rsid w:val="00797CC0"/>
    <w:rsid w:val="007A2398"/>
    <w:rsid w:val="007B5A95"/>
    <w:rsid w:val="007C2F19"/>
    <w:rsid w:val="007C4070"/>
    <w:rsid w:val="007C69DE"/>
    <w:rsid w:val="007D1446"/>
    <w:rsid w:val="007D18CF"/>
    <w:rsid w:val="007D55DB"/>
    <w:rsid w:val="007E2F64"/>
    <w:rsid w:val="007E5F83"/>
    <w:rsid w:val="007E767B"/>
    <w:rsid w:val="007E7F43"/>
    <w:rsid w:val="007F2A0A"/>
    <w:rsid w:val="007F5938"/>
    <w:rsid w:val="007F71BA"/>
    <w:rsid w:val="0080175B"/>
    <w:rsid w:val="008123CF"/>
    <w:rsid w:val="008132D2"/>
    <w:rsid w:val="00813580"/>
    <w:rsid w:val="00813ABA"/>
    <w:rsid w:val="00815528"/>
    <w:rsid w:val="00815FE4"/>
    <w:rsid w:val="0082275E"/>
    <w:rsid w:val="00823E1B"/>
    <w:rsid w:val="00825482"/>
    <w:rsid w:val="00826C44"/>
    <w:rsid w:val="0083043F"/>
    <w:rsid w:val="00831533"/>
    <w:rsid w:val="00833628"/>
    <w:rsid w:val="00836A2A"/>
    <w:rsid w:val="00840449"/>
    <w:rsid w:val="00843F23"/>
    <w:rsid w:val="00850DD6"/>
    <w:rsid w:val="00853AAE"/>
    <w:rsid w:val="00855608"/>
    <w:rsid w:val="00863843"/>
    <w:rsid w:val="00864158"/>
    <w:rsid w:val="00864F8E"/>
    <w:rsid w:val="00865E0A"/>
    <w:rsid w:val="0087195F"/>
    <w:rsid w:val="00873DE4"/>
    <w:rsid w:val="008766EC"/>
    <w:rsid w:val="00880EA6"/>
    <w:rsid w:val="00881013"/>
    <w:rsid w:val="00885174"/>
    <w:rsid w:val="0089738D"/>
    <w:rsid w:val="008A4FC6"/>
    <w:rsid w:val="008A55AB"/>
    <w:rsid w:val="008B3884"/>
    <w:rsid w:val="008B46F2"/>
    <w:rsid w:val="008B6D18"/>
    <w:rsid w:val="008B6FAF"/>
    <w:rsid w:val="008C0DCB"/>
    <w:rsid w:val="008C1AB9"/>
    <w:rsid w:val="008C77BE"/>
    <w:rsid w:val="008D096D"/>
    <w:rsid w:val="008D15E8"/>
    <w:rsid w:val="008D2B06"/>
    <w:rsid w:val="008D4ADB"/>
    <w:rsid w:val="008D6865"/>
    <w:rsid w:val="008D6910"/>
    <w:rsid w:val="008D70C6"/>
    <w:rsid w:val="008E5E49"/>
    <w:rsid w:val="008E7348"/>
    <w:rsid w:val="008E79FE"/>
    <w:rsid w:val="008F0B55"/>
    <w:rsid w:val="008F0C5C"/>
    <w:rsid w:val="008F4302"/>
    <w:rsid w:val="008F6051"/>
    <w:rsid w:val="00902288"/>
    <w:rsid w:val="00902FCE"/>
    <w:rsid w:val="0090523B"/>
    <w:rsid w:val="00906066"/>
    <w:rsid w:val="00910BBC"/>
    <w:rsid w:val="009139BF"/>
    <w:rsid w:val="009166AC"/>
    <w:rsid w:val="0091725A"/>
    <w:rsid w:val="00922EF9"/>
    <w:rsid w:val="00925E48"/>
    <w:rsid w:val="009267F3"/>
    <w:rsid w:val="009312C1"/>
    <w:rsid w:val="009337B1"/>
    <w:rsid w:val="00934044"/>
    <w:rsid w:val="009402B3"/>
    <w:rsid w:val="00941CB1"/>
    <w:rsid w:val="009424F0"/>
    <w:rsid w:val="00942929"/>
    <w:rsid w:val="00946123"/>
    <w:rsid w:val="009473B5"/>
    <w:rsid w:val="00952D77"/>
    <w:rsid w:val="00953218"/>
    <w:rsid w:val="00955DF1"/>
    <w:rsid w:val="00965706"/>
    <w:rsid w:val="00966AA9"/>
    <w:rsid w:val="00970641"/>
    <w:rsid w:val="00973101"/>
    <w:rsid w:val="00973E36"/>
    <w:rsid w:val="00973FD5"/>
    <w:rsid w:val="009751FE"/>
    <w:rsid w:val="00975ED4"/>
    <w:rsid w:val="00976891"/>
    <w:rsid w:val="00980886"/>
    <w:rsid w:val="00980F7F"/>
    <w:rsid w:val="00982348"/>
    <w:rsid w:val="00983B93"/>
    <w:rsid w:val="00984229"/>
    <w:rsid w:val="00986658"/>
    <w:rsid w:val="0099092A"/>
    <w:rsid w:val="00993B5F"/>
    <w:rsid w:val="00994B39"/>
    <w:rsid w:val="0099518F"/>
    <w:rsid w:val="0099719B"/>
    <w:rsid w:val="0099768C"/>
    <w:rsid w:val="00997715"/>
    <w:rsid w:val="009A6AFB"/>
    <w:rsid w:val="009A6C3A"/>
    <w:rsid w:val="009B0893"/>
    <w:rsid w:val="009B2B02"/>
    <w:rsid w:val="009B763C"/>
    <w:rsid w:val="009B7802"/>
    <w:rsid w:val="009B7969"/>
    <w:rsid w:val="009C5E6C"/>
    <w:rsid w:val="009C60D6"/>
    <w:rsid w:val="009C68D1"/>
    <w:rsid w:val="009C7E8C"/>
    <w:rsid w:val="009D1B40"/>
    <w:rsid w:val="009D240B"/>
    <w:rsid w:val="009D414E"/>
    <w:rsid w:val="009E436A"/>
    <w:rsid w:val="009F0192"/>
    <w:rsid w:val="009F10E9"/>
    <w:rsid w:val="009F53CF"/>
    <w:rsid w:val="009F5703"/>
    <w:rsid w:val="00A04A49"/>
    <w:rsid w:val="00A05924"/>
    <w:rsid w:val="00A10095"/>
    <w:rsid w:val="00A23B97"/>
    <w:rsid w:val="00A26621"/>
    <w:rsid w:val="00A335AF"/>
    <w:rsid w:val="00A37352"/>
    <w:rsid w:val="00A37F9F"/>
    <w:rsid w:val="00A40DA0"/>
    <w:rsid w:val="00A447ED"/>
    <w:rsid w:val="00A44DFE"/>
    <w:rsid w:val="00A501B7"/>
    <w:rsid w:val="00A52F2C"/>
    <w:rsid w:val="00A64D5D"/>
    <w:rsid w:val="00A70087"/>
    <w:rsid w:val="00A72E25"/>
    <w:rsid w:val="00A73AF2"/>
    <w:rsid w:val="00A82614"/>
    <w:rsid w:val="00A846B8"/>
    <w:rsid w:val="00A84C9A"/>
    <w:rsid w:val="00A87BDD"/>
    <w:rsid w:val="00A92FFF"/>
    <w:rsid w:val="00A96FBD"/>
    <w:rsid w:val="00A978FD"/>
    <w:rsid w:val="00AA0B75"/>
    <w:rsid w:val="00AA0C0B"/>
    <w:rsid w:val="00AA15F1"/>
    <w:rsid w:val="00AA3734"/>
    <w:rsid w:val="00AA693B"/>
    <w:rsid w:val="00AA6CE0"/>
    <w:rsid w:val="00AB251C"/>
    <w:rsid w:val="00AC1992"/>
    <w:rsid w:val="00AD001F"/>
    <w:rsid w:val="00AD065D"/>
    <w:rsid w:val="00AD573E"/>
    <w:rsid w:val="00AE0F46"/>
    <w:rsid w:val="00AE1E87"/>
    <w:rsid w:val="00AE4A22"/>
    <w:rsid w:val="00AE593E"/>
    <w:rsid w:val="00AE61E0"/>
    <w:rsid w:val="00AF1432"/>
    <w:rsid w:val="00AF1AAA"/>
    <w:rsid w:val="00AF1FA5"/>
    <w:rsid w:val="00AF27C3"/>
    <w:rsid w:val="00AF69B4"/>
    <w:rsid w:val="00AF7AA6"/>
    <w:rsid w:val="00AF7ED2"/>
    <w:rsid w:val="00B00CC3"/>
    <w:rsid w:val="00B0126F"/>
    <w:rsid w:val="00B0528E"/>
    <w:rsid w:val="00B0676F"/>
    <w:rsid w:val="00B07D53"/>
    <w:rsid w:val="00B10524"/>
    <w:rsid w:val="00B11B22"/>
    <w:rsid w:val="00B12A4A"/>
    <w:rsid w:val="00B145EC"/>
    <w:rsid w:val="00B17AEB"/>
    <w:rsid w:val="00B21CB0"/>
    <w:rsid w:val="00B246E4"/>
    <w:rsid w:val="00B2627D"/>
    <w:rsid w:val="00B32EA8"/>
    <w:rsid w:val="00B37A9A"/>
    <w:rsid w:val="00B401F9"/>
    <w:rsid w:val="00B40C81"/>
    <w:rsid w:val="00B43F46"/>
    <w:rsid w:val="00B46E1F"/>
    <w:rsid w:val="00B479B0"/>
    <w:rsid w:val="00B47CEF"/>
    <w:rsid w:val="00B500C9"/>
    <w:rsid w:val="00B50C6F"/>
    <w:rsid w:val="00B52558"/>
    <w:rsid w:val="00B52A49"/>
    <w:rsid w:val="00B53228"/>
    <w:rsid w:val="00B546BC"/>
    <w:rsid w:val="00B57663"/>
    <w:rsid w:val="00B60E69"/>
    <w:rsid w:val="00B6226A"/>
    <w:rsid w:val="00B6636D"/>
    <w:rsid w:val="00B66956"/>
    <w:rsid w:val="00B66EDA"/>
    <w:rsid w:val="00B672A4"/>
    <w:rsid w:val="00B7034D"/>
    <w:rsid w:val="00B7336F"/>
    <w:rsid w:val="00B73778"/>
    <w:rsid w:val="00B7650D"/>
    <w:rsid w:val="00B83762"/>
    <w:rsid w:val="00B85346"/>
    <w:rsid w:val="00B91413"/>
    <w:rsid w:val="00BA2682"/>
    <w:rsid w:val="00BA5637"/>
    <w:rsid w:val="00BA7C7D"/>
    <w:rsid w:val="00BB7226"/>
    <w:rsid w:val="00BB7D07"/>
    <w:rsid w:val="00BC037D"/>
    <w:rsid w:val="00BC4C1C"/>
    <w:rsid w:val="00BC62BA"/>
    <w:rsid w:val="00BC711D"/>
    <w:rsid w:val="00BD0219"/>
    <w:rsid w:val="00BD10B2"/>
    <w:rsid w:val="00BD1A8A"/>
    <w:rsid w:val="00BD277B"/>
    <w:rsid w:val="00BD29CD"/>
    <w:rsid w:val="00BD6CC4"/>
    <w:rsid w:val="00BD7AB5"/>
    <w:rsid w:val="00BE0033"/>
    <w:rsid w:val="00BE1DC2"/>
    <w:rsid w:val="00BE2AB6"/>
    <w:rsid w:val="00BE424C"/>
    <w:rsid w:val="00BE7450"/>
    <w:rsid w:val="00BE76FF"/>
    <w:rsid w:val="00C009F9"/>
    <w:rsid w:val="00C06792"/>
    <w:rsid w:val="00C1414C"/>
    <w:rsid w:val="00C17988"/>
    <w:rsid w:val="00C20C04"/>
    <w:rsid w:val="00C23DB6"/>
    <w:rsid w:val="00C328AB"/>
    <w:rsid w:val="00C3475D"/>
    <w:rsid w:val="00C41C6C"/>
    <w:rsid w:val="00C43876"/>
    <w:rsid w:val="00C449AA"/>
    <w:rsid w:val="00C457C6"/>
    <w:rsid w:val="00C46D5B"/>
    <w:rsid w:val="00C51E48"/>
    <w:rsid w:val="00C53920"/>
    <w:rsid w:val="00C630D1"/>
    <w:rsid w:val="00C63433"/>
    <w:rsid w:val="00C714B1"/>
    <w:rsid w:val="00C82393"/>
    <w:rsid w:val="00C82F7B"/>
    <w:rsid w:val="00C84C5E"/>
    <w:rsid w:val="00C85414"/>
    <w:rsid w:val="00C8562F"/>
    <w:rsid w:val="00C91CE2"/>
    <w:rsid w:val="00C956FD"/>
    <w:rsid w:val="00C9616D"/>
    <w:rsid w:val="00C97EC6"/>
    <w:rsid w:val="00CA2000"/>
    <w:rsid w:val="00CA4215"/>
    <w:rsid w:val="00CA5411"/>
    <w:rsid w:val="00CA7C42"/>
    <w:rsid w:val="00CB5FB6"/>
    <w:rsid w:val="00CC12EE"/>
    <w:rsid w:val="00CC1F87"/>
    <w:rsid w:val="00CC5401"/>
    <w:rsid w:val="00CC7B9A"/>
    <w:rsid w:val="00CD113A"/>
    <w:rsid w:val="00CD205A"/>
    <w:rsid w:val="00CD21AB"/>
    <w:rsid w:val="00CD46DB"/>
    <w:rsid w:val="00CD4ACC"/>
    <w:rsid w:val="00CD6583"/>
    <w:rsid w:val="00CD6FFE"/>
    <w:rsid w:val="00CE2631"/>
    <w:rsid w:val="00CF05BF"/>
    <w:rsid w:val="00CF124C"/>
    <w:rsid w:val="00CF4055"/>
    <w:rsid w:val="00CF7ED8"/>
    <w:rsid w:val="00D01813"/>
    <w:rsid w:val="00D04252"/>
    <w:rsid w:val="00D0599B"/>
    <w:rsid w:val="00D070E7"/>
    <w:rsid w:val="00D1653D"/>
    <w:rsid w:val="00D206FE"/>
    <w:rsid w:val="00D20DFD"/>
    <w:rsid w:val="00D23CED"/>
    <w:rsid w:val="00D244FA"/>
    <w:rsid w:val="00D2625B"/>
    <w:rsid w:val="00D304B3"/>
    <w:rsid w:val="00D31DB3"/>
    <w:rsid w:val="00D37F00"/>
    <w:rsid w:val="00D416B5"/>
    <w:rsid w:val="00D4469C"/>
    <w:rsid w:val="00D4678A"/>
    <w:rsid w:val="00D50D1B"/>
    <w:rsid w:val="00D52DD6"/>
    <w:rsid w:val="00D53BD4"/>
    <w:rsid w:val="00D560E1"/>
    <w:rsid w:val="00D6434F"/>
    <w:rsid w:val="00D66D0F"/>
    <w:rsid w:val="00D7349E"/>
    <w:rsid w:val="00D765CB"/>
    <w:rsid w:val="00D77376"/>
    <w:rsid w:val="00D82F45"/>
    <w:rsid w:val="00D84B1B"/>
    <w:rsid w:val="00D856F1"/>
    <w:rsid w:val="00D877C8"/>
    <w:rsid w:val="00D87FBF"/>
    <w:rsid w:val="00D9052D"/>
    <w:rsid w:val="00D91DCD"/>
    <w:rsid w:val="00D92783"/>
    <w:rsid w:val="00D94BBA"/>
    <w:rsid w:val="00D97615"/>
    <w:rsid w:val="00DA3A1D"/>
    <w:rsid w:val="00DA4390"/>
    <w:rsid w:val="00DB4847"/>
    <w:rsid w:val="00DB5050"/>
    <w:rsid w:val="00DB67A4"/>
    <w:rsid w:val="00DB6D5B"/>
    <w:rsid w:val="00DC0875"/>
    <w:rsid w:val="00DC0D99"/>
    <w:rsid w:val="00DC1FE8"/>
    <w:rsid w:val="00DC36C0"/>
    <w:rsid w:val="00DC7419"/>
    <w:rsid w:val="00DD632D"/>
    <w:rsid w:val="00DD7D59"/>
    <w:rsid w:val="00DE2B6F"/>
    <w:rsid w:val="00DE3494"/>
    <w:rsid w:val="00DF16F2"/>
    <w:rsid w:val="00DF39E2"/>
    <w:rsid w:val="00DF639F"/>
    <w:rsid w:val="00E00789"/>
    <w:rsid w:val="00E01360"/>
    <w:rsid w:val="00E04CF3"/>
    <w:rsid w:val="00E055C3"/>
    <w:rsid w:val="00E10336"/>
    <w:rsid w:val="00E1073D"/>
    <w:rsid w:val="00E142D2"/>
    <w:rsid w:val="00E16692"/>
    <w:rsid w:val="00E17455"/>
    <w:rsid w:val="00E22059"/>
    <w:rsid w:val="00E222DB"/>
    <w:rsid w:val="00E23F4C"/>
    <w:rsid w:val="00E258E8"/>
    <w:rsid w:val="00E2710F"/>
    <w:rsid w:val="00E305AE"/>
    <w:rsid w:val="00E3639D"/>
    <w:rsid w:val="00E37D66"/>
    <w:rsid w:val="00E40BCE"/>
    <w:rsid w:val="00E43EA4"/>
    <w:rsid w:val="00E45E17"/>
    <w:rsid w:val="00E45EFE"/>
    <w:rsid w:val="00E51351"/>
    <w:rsid w:val="00E5381F"/>
    <w:rsid w:val="00E5472D"/>
    <w:rsid w:val="00E57E3D"/>
    <w:rsid w:val="00E679C3"/>
    <w:rsid w:val="00E70949"/>
    <w:rsid w:val="00E732B1"/>
    <w:rsid w:val="00E7404F"/>
    <w:rsid w:val="00E76BDA"/>
    <w:rsid w:val="00E80B85"/>
    <w:rsid w:val="00E818A0"/>
    <w:rsid w:val="00E81E59"/>
    <w:rsid w:val="00E828DB"/>
    <w:rsid w:val="00E82C86"/>
    <w:rsid w:val="00E83A7D"/>
    <w:rsid w:val="00E8441B"/>
    <w:rsid w:val="00E849E9"/>
    <w:rsid w:val="00E84A4C"/>
    <w:rsid w:val="00E86949"/>
    <w:rsid w:val="00E86EF5"/>
    <w:rsid w:val="00E9278B"/>
    <w:rsid w:val="00E94AC2"/>
    <w:rsid w:val="00E95FBC"/>
    <w:rsid w:val="00EA0D1C"/>
    <w:rsid w:val="00EA435A"/>
    <w:rsid w:val="00EA5EC1"/>
    <w:rsid w:val="00EB1149"/>
    <w:rsid w:val="00EB53A0"/>
    <w:rsid w:val="00EB68ED"/>
    <w:rsid w:val="00EB6AA0"/>
    <w:rsid w:val="00EC2414"/>
    <w:rsid w:val="00EC37E3"/>
    <w:rsid w:val="00EC3BDE"/>
    <w:rsid w:val="00EC5615"/>
    <w:rsid w:val="00EC6E4F"/>
    <w:rsid w:val="00ED0C85"/>
    <w:rsid w:val="00ED228C"/>
    <w:rsid w:val="00ED2480"/>
    <w:rsid w:val="00ED291C"/>
    <w:rsid w:val="00ED5FD7"/>
    <w:rsid w:val="00EE0926"/>
    <w:rsid w:val="00EE3DFF"/>
    <w:rsid w:val="00EE602F"/>
    <w:rsid w:val="00EE7AFA"/>
    <w:rsid w:val="00EF2D5A"/>
    <w:rsid w:val="00EF3642"/>
    <w:rsid w:val="00EF4168"/>
    <w:rsid w:val="00EF618A"/>
    <w:rsid w:val="00EF72D9"/>
    <w:rsid w:val="00F02EC6"/>
    <w:rsid w:val="00F03B91"/>
    <w:rsid w:val="00F0523E"/>
    <w:rsid w:val="00F0588F"/>
    <w:rsid w:val="00F05AF8"/>
    <w:rsid w:val="00F06D85"/>
    <w:rsid w:val="00F203CD"/>
    <w:rsid w:val="00F247B0"/>
    <w:rsid w:val="00F24D9D"/>
    <w:rsid w:val="00F25FD4"/>
    <w:rsid w:val="00F26B5C"/>
    <w:rsid w:val="00F315CB"/>
    <w:rsid w:val="00F32A48"/>
    <w:rsid w:val="00F333AF"/>
    <w:rsid w:val="00F3394A"/>
    <w:rsid w:val="00F341E4"/>
    <w:rsid w:val="00F3611A"/>
    <w:rsid w:val="00F4689C"/>
    <w:rsid w:val="00F52DAB"/>
    <w:rsid w:val="00F6167B"/>
    <w:rsid w:val="00F61E76"/>
    <w:rsid w:val="00F62EEE"/>
    <w:rsid w:val="00F67C85"/>
    <w:rsid w:val="00F72882"/>
    <w:rsid w:val="00F8292F"/>
    <w:rsid w:val="00F85728"/>
    <w:rsid w:val="00F866E3"/>
    <w:rsid w:val="00F879E7"/>
    <w:rsid w:val="00F903D1"/>
    <w:rsid w:val="00F918A8"/>
    <w:rsid w:val="00F952EB"/>
    <w:rsid w:val="00FA0168"/>
    <w:rsid w:val="00FA6507"/>
    <w:rsid w:val="00FB2710"/>
    <w:rsid w:val="00FB34E1"/>
    <w:rsid w:val="00FB3A7B"/>
    <w:rsid w:val="00FB476B"/>
    <w:rsid w:val="00FC342E"/>
    <w:rsid w:val="00FC43FD"/>
    <w:rsid w:val="00FC490A"/>
    <w:rsid w:val="00FC61DA"/>
    <w:rsid w:val="00FC7291"/>
    <w:rsid w:val="00FD5B20"/>
    <w:rsid w:val="00FE3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0090D"/>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paragraph" w:customStyle="1" w:styleId="TAN">
    <w:name w:val="TAN"/>
    <w:basedOn w:val="a"/>
    <w:link w:val="TANChar"/>
    <w:rsid w:val="005102C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ko-KR"/>
    </w:rPr>
  </w:style>
  <w:style w:type="character" w:customStyle="1" w:styleId="TANChar">
    <w:name w:val="TAN Char"/>
    <w:link w:val="TAN"/>
    <w:rsid w:val="005102CA"/>
    <w:rPr>
      <w:rFonts w:ascii="Arial" w:eastAsia="Times New Roman" w:hAnsi="Arial" w:cs="Times New Roman"/>
      <w:sz w:val="18"/>
      <w:szCs w:val="20"/>
      <w:lang w:val="en-GB" w:eastAsia="ko-KR"/>
    </w:rPr>
  </w:style>
  <w:style w:type="character" w:customStyle="1" w:styleId="Doc-text2Char">
    <w:name w:val="Doc-text2 Char"/>
    <w:basedOn w:val="a0"/>
    <w:link w:val="Doc-text2"/>
    <w:locked/>
    <w:rsid w:val="006E7BFF"/>
    <w:rPr>
      <w:rFonts w:ascii="Arial" w:hAnsi="Arial" w:cs="Arial"/>
      <w:lang w:eastAsia="en-GB"/>
    </w:rPr>
  </w:style>
  <w:style w:type="paragraph" w:customStyle="1" w:styleId="Doc-text2">
    <w:name w:val="Doc-text2"/>
    <w:basedOn w:val="a"/>
    <w:link w:val="Doc-text2Char"/>
    <w:rsid w:val="006E7BFF"/>
    <w:pPr>
      <w:overflowPunct w:val="0"/>
      <w:autoSpaceDE w:val="0"/>
      <w:autoSpaceDN w:val="0"/>
      <w:spacing w:after="0" w:line="240" w:lineRule="auto"/>
      <w:ind w:left="1622" w:hanging="363"/>
    </w:pPr>
    <w:rPr>
      <w:rFonts w:ascii="Arial" w:hAnsi="Arial" w:cs="Arial"/>
      <w:lang w:eastAsia="en-GB"/>
    </w:rPr>
  </w:style>
  <w:style w:type="character" w:styleId="af">
    <w:name w:val="annotation reference"/>
    <w:basedOn w:val="a0"/>
    <w:uiPriority w:val="99"/>
    <w:semiHidden/>
    <w:unhideWhenUsed/>
    <w:rsid w:val="00DB67A4"/>
    <w:rPr>
      <w:sz w:val="16"/>
      <w:szCs w:val="16"/>
    </w:rPr>
  </w:style>
  <w:style w:type="paragraph" w:styleId="af0">
    <w:name w:val="annotation text"/>
    <w:basedOn w:val="a"/>
    <w:link w:val="af1"/>
    <w:uiPriority w:val="99"/>
    <w:semiHidden/>
    <w:unhideWhenUsed/>
    <w:rsid w:val="00DB67A4"/>
    <w:pPr>
      <w:spacing w:line="240" w:lineRule="auto"/>
    </w:pPr>
    <w:rPr>
      <w:sz w:val="20"/>
      <w:szCs w:val="20"/>
    </w:rPr>
  </w:style>
  <w:style w:type="character" w:customStyle="1" w:styleId="af1">
    <w:name w:val="註解文字 字元"/>
    <w:basedOn w:val="a0"/>
    <w:link w:val="af0"/>
    <w:uiPriority w:val="99"/>
    <w:semiHidden/>
    <w:rsid w:val="00DB67A4"/>
    <w:rPr>
      <w:sz w:val="20"/>
      <w:szCs w:val="20"/>
    </w:rPr>
  </w:style>
  <w:style w:type="paragraph" w:styleId="af2">
    <w:name w:val="annotation subject"/>
    <w:basedOn w:val="af0"/>
    <w:next w:val="af0"/>
    <w:link w:val="af3"/>
    <w:uiPriority w:val="99"/>
    <w:semiHidden/>
    <w:unhideWhenUsed/>
    <w:rsid w:val="00DB67A4"/>
    <w:rPr>
      <w:b/>
      <w:bCs/>
    </w:rPr>
  </w:style>
  <w:style w:type="character" w:customStyle="1" w:styleId="af3">
    <w:name w:val="註解主旨 字元"/>
    <w:basedOn w:val="af1"/>
    <w:link w:val="af2"/>
    <w:uiPriority w:val="99"/>
    <w:semiHidden/>
    <w:rsid w:val="00DB67A4"/>
    <w:rPr>
      <w:b/>
      <w:bCs/>
      <w:sz w:val="20"/>
      <w:szCs w:val="20"/>
    </w:rPr>
  </w:style>
  <w:style w:type="paragraph" w:styleId="af4">
    <w:name w:val="Revision"/>
    <w:hidden/>
    <w:uiPriority w:val="99"/>
    <w:semiHidden/>
    <w:rsid w:val="0060088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98661821">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78889714">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2787340">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A24AB-F187-477F-B8C3-FBBF67707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635</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5</cp:revision>
  <dcterms:created xsi:type="dcterms:W3CDTF">2018-04-05T07:40:00Z</dcterms:created>
  <dcterms:modified xsi:type="dcterms:W3CDTF">2018-04-05T08:32:00Z</dcterms:modified>
</cp:coreProperties>
</file>